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38"/>
        <w:gridCol w:w="1566"/>
        <w:gridCol w:w="1417"/>
        <w:gridCol w:w="526"/>
        <w:gridCol w:w="1301"/>
        <w:gridCol w:w="1609"/>
        <w:gridCol w:w="662"/>
        <w:gridCol w:w="2580"/>
      </w:tblGrid>
      <w:tr w:rsidR="00006D29"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006D29"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06D29"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006D29" w14:paraId="01993A28" w14:textId="77777777" w:rsidTr="00006D29">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2234888B"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w:t>
            </w:r>
          </w:p>
        </w:tc>
        <w:tc>
          <w:tcPr>
            <w:tcW w:w="1783" w:type="dxa"/>
            <w:gridSpan w:val="2"/>
            <w:vAlign w:val="center"/>
          </w:tcPr>
          <w:p w14:paraId="15B861FA" w14:textId="7D735735"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Bachelor–</w:t>
            </w:r>
            <w:proofErr w:type="spellStart"/>
            <w:r>
              <w:rPr>
                <w:rFonts w:ascii="Verdana" w:eastAsia="Times New Roman" w:hAnsi="Verdana" w:cs="Arial"/>
                <w:b/>
                <w:color w:val="002060"/>
                <w:sz w:val="16"/>
                <w:szCs w:val="16"/>
                <w:lang w:val="en-GB"/>
              </w:rPr>
              <w:t>EQf</w:t>
            </w:r>
            <w:proofErr w:type="spellEnd"/>
            <w:r>
              <w:rPr>
                <w:rFonts w:ascii="Verdana" w:eastAsia="Times New Roman" w:hAnsi="Verdana" w:cs="Arial"/>
                <w:b/>
                <w:color w:val="002060"/>
                <w:sz w:val="16"/>
                <w:szCs w:val="16"/>
                <w:lang w:val="en-GB"/>
              </w:rPr>
              <w:t xml:space="preserve"> -6</w:t>
            </w:r>
          </w:p>
        </w:tc>
        <w:tc>
          <w:tcPr>
            <w:tcW w:w="2288" w:type="dxa"/>
            <w:gridSpan w:val="2"/>
            <w:vAlign w:val="center"/>
          </w:tcPr>
          <w:p w14:paraId="5D9380EC" w14:textId="3059FCAD" w:rsidR="00481298" w:rsidRPr="00006D29" w:rsidRDefault="00006D29" w:rsidP="00006D29">
            <w:pPr>
              <w:spacing w:after="120" w:line="240" w:lineRule="auto"/>
              <w:ind w:right="28"/>
              <w:jc w:val="center"/>
              <w:rPr>
                <w:rFonts w:ascii="Verdana" w:eastAsia="Times New Roman" w:hAnsi="Verdana" w:cs="Arial"/>
                <w:b/>
                <w:color w:val="002060"/>
                <w:sz w:val="16"/>
                <w:szCs w:val="16"/>
                <w:lang w:val="is-IS"/>
              </w:rPr>
            </w:pPr>
            <w:r>
              <w:rPr>
                <w:rFonts w:ascii="Verdana" w:eastAsia="Times New Roman" w:hAnsi="Verdana" w:cs="Arial"/>
                <w:b/>
                <w:color w:val="002060"/>
                <w:sz w:val="16"/>
                <w:szCs w:val="16"/>
                <w:lang w:val="is-IS"/>
              </w:rPr>
              <w:t>1031-Military and Defence</w:t>
            </w:r>
          </w:p>
        </w:tc>
        <w:tc>
          <w:tcPr>
            <w:tcW w:w="2591" w:type="dxa"/>
            <w:vAlign w:val="center"/>
          </w:tcPr>
          <w:p w14:paraId="7EC5B40C" w14:textId="073F4B33"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w:t>
            </w:r>
          </w:p>
        </w:tc>
      </w:tr>
      <w:tr w:rsidR="00006D29"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006D29"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06D29"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006D29" w14:paraId="151698B1" w14:textId="77777777" w:rsidTr="00006D29">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6DBB2F56" w:rsidR="00481298" w:rsidRPr="00006D29" w:rsidRDefault="00006D29" w:rsidP="008C6E35">
            <w:pPr>
              <w:spacing w:after="120" w:line="240" w:lineRule="auto"/>
              <w:ind w:right="28"/>
              <w:jc w:val="center"/>
              <w:rPr>
                <w:rFonts w:ascii="Verdana" w:eastAsia="Times New Roman" w:hAnsi="Verdana" w:cs="Arial"/>
                <w:bCs/>
                <w:color w:val="002060"/>
                <w:sz w:val="18"/>
                <w:lang w:val="en-GB"/>
              </w:rPr>
            </w:pPr>
            <w:r w:rsidRPr="00006D29">
              <w:rPr>
                <w:rFonts w:ascii="Verdana" w:eastAsia="Times New Roman" w:hAnsi="Verdana" w:cs="Arial"/>
                <w:bCs/>
                <w:color w:val="002060"/>
                <w:sz w:val="18"/>
                <w:lang w:val="en-GB"/>
              </w:rPr>
              <w:t xml:space="preserve">Hellenic Army Academy </w:t>
            </w:r>
          </w:p>
        </w:tc>
        <w:tc>
          <w:tcPr>
            <w:tcW w:w="1949" w:type="dxa"/>
            <w:gridSpan w:val="2"/>
            <w:vAlign w:val="center"/>
          </w:tcPr>
          <w:p w14:paraId="64BE1AA1" w14:textId="03745C55"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International Cooperation Office</w:t>
            </w:r>
          </w:p>
        </w:tc>
        <w:tc>
          <w:tcPr>
            <w:tcW w:w="1251" w:type="dxa"/>
            <w:vAlign w:val="center"/>
          </w:tcPr>
          <w:p w14:paraId="6C108FB1" w14:textId="03DBCB47"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GATHINE54</w:t>
            </w:r>
          </w:p>
        </w:tc>
        <w:tc>
          <w:tcPr>
            <w:tcW w:w="1619" w:type="dxa"/>
            <w:vAlign w:val="center"/>
          </w:tcPr>
          <w:p w14:paraId="52656725" w14:textId="54571613"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GREECE</w:t>
            </w:r>
          </w:p>
        </w:tc>
        <w:tc>
          <w:tcPr>
            <w:tcW w:w="3260" w:type="dxa"/>
            <w:gridSpan w:val="2"/>
            <w:vAlign w:val="center"/>
          </w:tcPr>
          <w:p w14:paraId="20E20FAC" w14:textId="77777777" w:rsidR="00006D29" w:rsidRDefault="00006D29" w:rsidP="00006D29">
            <w:pPr>
              <w:spacing w:after="0" w:line="240" w:lineRule="auto"/>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Evangelos Zarkos</w:t>
            </w:r>
          </w:p>
          <w:p w14:paraId="1732DB5F" w14:textId="0E54152C" w:rsidR="00481298" w:rsidRPr="00006D29" w:rsidRDefault="006C36A7" w:rsidP="00006D29">
            <w:pPr>
              <w:spacing w:after="0" w:line="240" w:lineRule="auto"/>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erasmus@sse.gr</w:t>
            </w:r>
            <w:r>
              <w:rPr>
                <w:rFonts w:ascii="Verdana" w:eastAsia="Times New Roman" w:hAnsi="Verdana" w:cs="Arial"/>
                <w:b/>
                <w:color w:val="002060"/>
                <w:sz w:val="16"/>
                <w:szCs w:val="16"/>
                <w:lang w:val="en-GB"/>
              </w:rPr>
              <w:br/>
              <w:t>haa.icof@gmail.com</w:t>
            </w:r>
          </w:p>
        </w:tc>
      </w:tr>
      <w:tr w:rsidR="00481298" w14:paraId="7059EB03" w14:textId="77777777" w:rsidTr="008C6E35">
        <w:tc>
          <w:tcPr>
            <w:tcW w:w="11199" w:type="dxa"/>
            <w:gridSpan w:val="8"/>
            <w:shd w:val="clear" w:color="auto" w:fill="D5DCE4" w:themeFill="text2" w:themeFillTint="33"/>
            <w:vAlign w:val="bottom"/>
          </w:tcPr>
          <w:p w14:paraId="1EEC753A" w14:textId="1B467775" w:rsidR="00481298" w:rsidRPr="00037D87" w:rsidRDefault="00481298" w:rsidP="008C6E35">
            <w:pPr>
              <w:spacing w:after="120" w:line="240" w:lineRule="auto"/>
              <w:ind w:right="28"/>
              <w:jc w:val="center"/>
              <w:rPr>
                <w:rFonts w:ascii="Verdana" w:eastAsia="Times New Roman" w:hAnsi="Verdana" w:cs="Arial"/>
                <w:b/>
                <w:color w:val="002060"/>
                <w:sz w:val="20"/>
                <w:szCs w:val="20"/>
                <w:lang w:val="en-GB"/>
              </w:rPr>
            </w:pPr>
            <w:r w:rsidRPr="00037D87">
              <w:rPr>
                <w:rFonts w:ascii="Calibri" w:eastAsia="Times New Roman" w:hAnsi="Calibri" w:cs="Times New Roman"/>
                <w:color w:val="000000"/>
                <w:sz w:val="20"/>
                <w:szCs w:val="20"/>
                <w:lang w:val="en-GB" w:eastAsia="en-GB"/>
              </w:rPr>
              <w:t xml:space="preserve">The level of language competence in </w:t>
            </w:r>
            <w:r w:rsidR="00037D87" w:rsidRPr="00037D87">
              <w:rPr>
                <w:rFonts w:ascii="Calibri" w:eastAsia="Times New Roman" w:hAnsi="Calibri" w:cs="Times New Roman"/>
                <w:color w:val="000000"/>
                <w:sz w:val="20"/>
                <w:szCs w:val="20"/>
                <w:lang w:val="en-GB" w:eastAsia="en-GB"/>
              </w:rPr>
              <w:t>English</w:t>
            </w:r>
            <w:r w:rsidRPr="00037D87">
              <w:rPr>
                <w:rFonts w:ascii="Calibri" w:eastAsia="Times New Roman" w:hAnsi="Calibri" w:cs="Times New Roman"/>
                <w:bCs/>
                <w:color w:val="000000"/>
                <w:sz w:val="20"/>
                <w:szCs w:val="20"/>
                <w:lang w:val="en-GB" w:eastAsia="en-GB"/>
              </w:rPr>
              <w:t xml:space="preserve"> [indicate here the main language of instruction] that</w:t>
            </w:r>
            <w:r w:rsidRPr="00037D87">
              <w:rPr>
                <w:rFonts w:ascii="Calibri" w:eastAsia="Times New Roman" w:hAnsi="Calibri" w:cs="Times New Roman"/>
                <w:color w:val="000000"/>
                <w:sz w:val="20"/>
                <w:szCs w:val="20"/>
                <w:lang w:val="en-GB" w:eastAsia="en-GB"/>
              </w:rPr>
              <w:t xml:space="preserve"> the student already has or agrees to acquire by the start of the study period is: </w:t>
            </w:r>
            <w:r w:rsidRPr="00037D87">
              <w:rPr>
                <w:rFonts w:ascii="Calibri" w:eastAsia="Times New Roman" w:hAnsi="Calibri" w:cs="Times New Roman"/>
                <w:color w:val="000000"/>
                <w:sz w:val="20"/>
                <w:szCs w:val="20"/>
                <w:lang w:val="en-GB" w:eastAsia="en-GB"/>
              </w:rPr>
              <w:br/>
            </w:r>
            <w:r w:rsidRPr="00037D87">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Content>
                <w:r w:rsidRPr="00037D87">
                  <w:rPr>
                    <w:rFonts w:ascii="MS Gothic" w:eastAsia="MS Gothic" w:hAnsi="MS Gothic" w:cs="Times New Roman" w:hint="eastAsia"/>
                    <w:iCs/>
                    <w:color w:val="000000"/>
                    <w:sz w:val="20"/>
                    <w:szCs w:val="20"/>
                    <w:lang w:val="en-GB" w:eastAsia="en-GB"/>
                  </w:rPr>
                  <w:t>☐</w:t>
                </w:r>
              </w:sdtContent>
            </w:sdt>
            <w:r w:rsidRPr="00037D87">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Content>
                <w:r w:rsidRPr="00037D87">
                  <w:rPr>
                    <w:rFonts w:ascii="MS Gothic" w:eastAsia="MS Gothic" w:hAnsi="MS Gothic" w:cs="Times New Roman" w:hint="eastAsia"/>
                    <w:iCs/>
                    <w:color w:val="000000"/>
                    <w:sz w:val="20"/>
                    <w:szCs w:val="20"/>
                    <w:lang w:val="en-GB" w:eastAsia="en-GB"/>
                  </w:rPr>
                  <w:t>☐</w:t>
                </w:r>
              </w:sdtContent>
            </w:sdt>
            <w:r w:rsidRPr="00037D87">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Content>
                <w:r w:rsidRPr="00037D87">
                  <w:rPr>
                    <w:rFonts w:ascii="MS Gothic" w:eastAsia="MS Gothic" w:hAnsi="MS Gothic" w:cs="Times New Roman" w:hint="eastAsia"/>
                    <w:iCs/>
                    <w:color w:val="000000"/>
                    <w:sz w:val="20"/>
                    <w:szCs w:val="20"/>
                    <w:lang w:val="en-GB" w:eastAsia="en-GB"/>
                  </w:rPr>
                  <w:t>☐</w:t>
                </w:r>
              </w:sdtContent>
            </w:sdt>
            <w:r w:rsidRPr="00037D87">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iCs/>
                  <w:color w:val="000000"/>
                  <w:sz w:val="20"/>
                  <w:szCs w:val="20"/>
                  <w:lang w:val="en-GB" w:eastAsia="en-GB"/>
                </w:rPr>
                <w:id w:val="1407178793"/>
                <w14:checkbox>
                  <w14:checked w14:val="1"/>
                  <w14:checkedState w14:val="2612" w14:font="MS Gothic"/>
                  <w14:uncheckedState w14:val="2610" w14:font="MS Gothic"/>
                </w14:checkbox>
              </w:sdtPr>
              <w:sdtContent>
                <w:r w:rsidR="00006D29" w:rsidRPr="00037D87">
                  <w:rPr>
                    <w:rFonts w:ascii="MS Gothic" w:eastAsia="MS Gothic" w:hAnsi="MS Gothic" w:cs="Times New Roman" w:hint="eastAsia"/>
                    <w:iCs/>
                    <w:color w:val="000000"/>
                    <w:sz w:val="20"/>
                    <w:szCs w:val="20"/>
                    <w:lang w:val="en-GB" w:eastAsia="en-GB"/>
                  </w:rPr>
                  <w:t>☒</w:t>
                </w:r>
              </w:sdtContent>
            </w:sdt>
            <w:r w:rsidRPr="00037D87">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Content>
                <w:r w:rsidRPr="00037D87">
                  <w:rPr>
                    <w:rFonts w:ascii="MS Gothic" w:eastAsia="MS Gothic" w:hAnsi="MS Gothic" w:cs="Times New Roman" w:hint="eastAsia"/>
                    <w:iCs/>
                    <w:color w:val="000000"/>
                    <w:sz w:val="20"/>
                    <w:szCs w:val="20"/>
                    <w:lang w:val="en-GB" w:eastAsia="en-GB"/>
                  </w:rPr>
                  <w:t>☐</w:t>
                </w:r>
              </w:sdtContent>
            </w:sdt>
            <w:r w:rsidRPr="00037D87">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Content>
                <w:r w:rsidRPr="00037D87">
                  <w:rPr>
                    <w:rFonts w:ascii="MS Gothic" w:eastAsia="MS Gothic" w:hAnsi="MS Gothic" w:cs="Times New Roman" w:hint="eastAsia"/>
                    <w:iCs/>
                    <w:color w:val="000000"/>
                    <w:sz w:val="20"/>
                    <w:szCs w:val="20"/>
                    <w:lang w:val="en-GB" w:eastAsia="en-GB"/>
                  </w:rPr>
                  <w:t>☐</w:t>
                </w:r>
              </w:sdtContent>
            </w:sdt>
            <w:r w:rsidRPr="00037D87">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Content>
                <w:r w:rsidRPr="00037D87">
                  <w:rPr>
                    <w:rFonts w:ascii="MS Gothic" w:eastAsia="MS Gothic" w:hAnsi="MS Gothic" w:cs="Times New Roman" w:hint="eastAsia"/>
                    <w:iCs/>
                    <w:color w:val="000000"/>
                    <w:sz w:val="20"/>
                    <w:szCs w:val="20"/>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6C36A7" w:rsidRDefault="00481298" w:rsidP="008C6E35">
            <w:pPr>
              <w:spacing w:after="0" w:line="240" w:lineRule="auto"/>
              <w:rPr>
                <w:rFonts w:ascii="Calibri" w:eastAsia="Times New Roman" w:hAnsi="Calibri" w:cs="Times New Roman"/>
                <w:b/>
                <w:bCs/>
                <w:iCs/>
                <w:color w:val="000000"/>
                <w:sz w:val="24"/>
                <w:szCs w:val="24"/>
                <w:lang w:val="en-GB" w:eastAsia="en-GB"/>
              </w:rPr>
            </w:pPr>
            <w:r w:rsidRPr="006C36A7">
              <w:rPr>
                <w:rFonts w:ascii="Calibri" w:eastAsia="Times New Roman" w:hAnsi="Calibri" w:cs="Times New Roman"/>
                <w:b/>
                <w:bCs/>
                <w:iCs/>
                <w:color w:val="000000"/>
                <w:sz w:val="24"/>
                <w:szCs w:val="24"/>
                <w:lang w:val="en-GB" w:eastAsia="en-GB"/>
              </w:rPr>
              <w:t xml:space="preserve">Learning agreement for studies type (select one) </w:t>
            </w:r>
          </w:p>
        </w:tc>
        <w:tc>
          <w:tcPr>
            <w:tcW w:w="4819" w:type="dxa"/>
            <w:shd w:val="clear" w:color="auto" w:fill="D5DCE4" w:themeFill="text2" w:themeFillTint="33"/>
          </w:tcPr>
          <w:p w14:paraId="1EC5AC10" w14:textId="77777777" w:rsidR="00481298" w:rsidRPr="006C36A7" w:rsidRDefault="00481298" w:rsidP="008C6E35">
            <w:pPr>
              <w:spacing w:after="0" w:line="240" w:lineRule="auto"/>
              <w:rPr>
                <w:rFonts w:ascii="Calibri" w:eastAsia="Times New Roman" w:hAnsi="Calibri" w:cs="Times New Roman"/>
                <w:b/>
                <w:bCs/>
                <w:iCs/>
                <w:color w:val="000000"/>
                <w:sz w:val="24"/>
                <w:szCs w:val="24"/>
                <w:lang w:val="en-GB" w:eastAsia="en-GB"/>
              </w:rPr>
            </w:pPr>
            <w:r w:rsidRPr="006C36A7">
              <w:rPr>
                <w:rFonts w:ascii="Calibri" w:eastAsia="Times New Roman" w:hAnsi="Calibri" w:cs="Times New Roman"/>
                <w:b/>
                <w:bCs/>
                <w:iCs/>
                <w:color w:val="000000"/>
                <w:sz w:val="24"/>
                <w:szCs w:val="24"/>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6C36A7" w:rsidRDefault="00481298" w:rsidP="008C6E35">
            <w:pPr>
              <w:spacing w:after="0" w:line="360" w:lineRule="auto"/>
              <w:rPr>
                <w:rFonts w:ascii="Calibri" w:eastAsia="Times New Roman" w:hAnsi="Calibri" w:cs="Times New Roman"/>
                <w:iCs/>
                <w:color w:val="000000"/>
                <w:sz w:val="24"/>
                <w:szCs w:val="24"/>
                <w:lang w:val="en-GB" w:eastAsia="en-GB"/>
              </w:rPr>
            </w:pPr>
          </w:p>
          <w:p w14:paraId="111342F7" w14:textId="77777777" w:rsidR="00481298" w:rsidRPr="006C36A7" w:rsidRDefault="00481298" w:rsidP="008C6E35">
            <w:pPr>
              <w:pStyle w:val="a9"/>
              <w:numPr>
                <w:ilvl w:val="0"/>
                <w:numId w:val="1"/>
              </w:numPr>
              <w:spacing w:after="0" w:line="360" w:lineRule="auto"/>
              <w:rPr>
                <w:rFonts w:ascii="Calibri" w:eastAsia="Times New Roman" w:hAnsi="Calibri" w:cs="Times New Roman"/>
                <w:iCs/>
                <w:color w:val="000000"/>
                <w:sz w:val="24"/>
                <w:szCs w:val="24"/>
                <w:lang w:val="en-GB" w:eastAsia="en-GB"/>
              </w:rPr>
            </w:pPr>
            <w:r w:rsidRPr="006C36A7">
              <w:rPr>
                <w:rFonts w:ascii="Calibri" w:eastAsia="Times New Roman" w:hAnsi="Calibri" w:cs="Times New Roman"/>
                <w:bCs/>
                <w:iCs/>
                <w:color w:val="000000"/>
                <w:sz w:val="24"/>
                <w:szCs w:val="24"/>
                <w:lang w:val="en-GB" w:eastAsia="en-GB"/>
              </w:rPr>
              <w:t>Long-term mobility</w:t>
            </w:r>
            <w:r w:rsidRPr="006C36A7">
              <w:rPr>
                <w:rFonts w:ascii="Calibri" w:eastAsia="Times New Roman" w:hAnsi="Calibri" w:cs="Times New Roman"/>
                <w:iCs/>
                <w:color w:val="000000"/>
                <w:sz w:val="24"/>
                <w:szCs w:val="24"/>
                <w:lang w:val="en-GB" w:eastAsia="en-GB"/>
              </w:rPr>
              <w:t xml:space="preserve"> </w:t>
            </w:r>
            <w:sdt>
              <w:sdtPr>
                <w:rPr>
                  <w:rFonts w:ascii="MS Gothic" w:eastAsia="MS Gothic" w:hAnsi="MS Gothic" w:cs="Times New Roman"/>
                  <w:iCs/>
                  <w:color w:val="000000"/>
                  <w:sz w:val="24"/>
                  <w:szCs w:val="24"/>
                  <w:lang w:val="en-GB" w:eastAsia="en-GB"/>
                </w:rPr>
                <w:id w:val="1010113284"/>
                <w14:checkbox>
                  <w14:checked w14:val="0"/>
                  <w14:checkedState w14:val="2612" w14:font="MS Gothic"/>
                  <w14:uncheckedState w14:val="2610" w14:font="MS Gothic"/>
                </w14:checkbox>
              </w:sdtPr>
              <w:sdtContent>
                <w:r w:rsidRPr="006C36A7">
                  <w:rPr>
                    <w:rFonts w:ascii="MS Gothic" w:eastAsia="MS Gothic" w:hAnsi="MS Gothic" w:cs="Times New Roman" w:hint="eastAsia"/>
                    <w:iCs/>
                    <w:color w:val="000000"/>
                    <w:sz w:val="24"/>
                    <w:szCs w:val="24"/>
                    <w:lang w:val="en-GB" w:eastAsia="en-GB"/>
                  </w:rPr>
                  <w:t>☐</w:t>
                </w:r>
              </w:sdtContent>
            </w:sdt>
            <w:r w:rsidRPr="006C36A7">
              <w:rPr>
                <w:rFonts w:ascii="Calibri" w:eastAsia="Times New Roman" w:hAnsi="Calibri" w:cs="Times New Roman"/>
                <w:iCs/>
                <w:color w:val="000000"/>
                <w:sz w:val="24"/>
                <w:szCs w:val="24"/>
                <w:lang w:val="en-GB" w:eastAsia="en-GB"/>
              </w:rPr>
              <w:t xml:space="preserve">   </w:t>
            </w:r>
            <w:proofErr w:type="gramStart"/>
            <w:r w:rsidRPr="006C36A7">
              <w:rPr>
                <w:rFonts w:ascii="Calibri" w:eastAsia="Times New Roman" w:hAnsi="Calibri" w:cs="Times New Roman"/>
                <w:iCs/>
                <w:color w:val="000000"/>
                <w:sz w:val="24"/>
                <w:szCs w:val="24"/>
                <w:lang w:val="en-GB" w:eastAsia="en-GB"/>
              </w:rPr>
              <w:t>/  Virtual</w:t>
            </w:r>
            <w:proofErr w:type="gramEnd"/>
            <w:r w:rsidRPr="006C36A7">
              <w:rPr>
                <w:rFonts w:ascii="Calibri" w:eastAsia="Times New Roman" w:hAnsi="Calibri" w:cs="Times New Roman"/>
                <w:iCs/>
                <w:color w:val="000000"/>
                <w:sz w:val="24"/>
                <w:szCs w:val="24"/>
                <w:lang w:val="en-GB" w:eastAsia="en-GB"/>
              </w:rPr>
              <w:t xml:space="preserve"> component </w:t>
            </w:r>
            <w:r w:rsidRPr="006C36A7">
              <w:rPr>
                <w:rFonts w:ascii="Calibri" w:eastAsia="Times New Roman" w:hAnsi="Calibri" w:cs="Times New Roman"/>
                <w:i/>
                <w:iCs/>
                <w:color w:val="000000"/>
                <w:sz w:val="24"/>
                <w:szCs w:val="24"/>
                <w:lang w:val="en-GB" w:eastAsia="en-GB"/>
              </w:rPr>
              <w:t>(only if applicable</w:t>
            </w:r>
            <w:r w:rsidRPr="006C36A7">
              <w:rPr>
                <w:rFonts w:ascii="Calibri" w:eastAsia="Times New Roman" w:hAnsi="Calibri" w:cs="Times New Roman"/>
                <w:bCs/>
                <w:i/>
                <w:iCs/>
                <w:color w:val="000000"/>
                <w:sz w:val="24"/>
                <w:szCs w:val="24"/>
                <w:lang w:val="en-GB" w:eastAsia="en-GB"/>
              </w:rPr>
              <w:t>)</w:t>
            </w:r>
            <w:r w:rsidRPr="006C36A7">
              <w:rPr>
                <w:rFonts w:ascii="Calibri" w:eastAsia="Times New Roman" w:hAnsi="Calibri" w:cs="Times New Roman"/>
                <w:iCs/>
                <w:color w:val="000000"/>
                <w:sz w:val="24"/>
                <w:szCs w:val="24"/>
                <w:lang w:val="en-GB" w:eastAsia="en-GB"/>
              </w:rPr>
              <w:t xml:space="preserve"> </w:t>
            </w:r>
            <w:sdt>
              <w:sdtPr>
                <w:rPr>
                  <w:rFonts w:ascii="MS Gothic" w:eastAsia="MS Gothic" w:hAnsi="MS Gothic" w:cs="Times New Roman"/>
                  <w:iCs/>
                  <w:color w:val="000000"/>
                  <w:sz w:val="24"/>
                  <w:szCs w:val="24"/>
                  <w:lang w:val="en-GB" w:eastAsia="en-GB"/>
                </w:rPr>
                <w:id w:val="-674497616"/>
                <w14:checkbox>
                  <w14:checked w14:val="0"/>
                  <w14:checkedState w14:val="2612" w14:font="MS Gothic"/>
                  <w14:uncheckedState w14:val="2610" w14:font="MS Gothic"/>
                </w14:checkbox>
              </w:sdtPr>
              <w:sdtContent>
                <w:r w:rsidRPr="006C36A7">
                  <w:rPr>
                    <w:rFonts w:ascii="MS Gothic" w:eastAsia="MS Gothic" w:hAnsi="MS Gothic" w:cs="Times New Roman" w:hint="eastAsia"/>
                    <w:iCs/>
                    <w:color w:val="000000"/>
                    <w:sz w:val="24"/>
                    <w:szCs w:val="24"/>
                    <w:lang w:val="en-GB" w:eastAsia="en-GB"/>
                  </w:rPr>
                  <w:t>☐</w:t>
                </w:r>
              </w:sdtContent>
            </w:sdt>
          </w:p>
          <w:p w14:paraId="2AFCAD3D" w14:textId="79FDD86C" w:rsidR="00481298" w:rsidRPr="006C36A7" w:rsidRDefault="00481298" w:rsidP="008C6E35">
            <w:pPr>
              <w:pStyle w:val="a9"/>
              <w:numPr>
                <w:ilvl w:val="0"/>
                <w:numId w:val="1"/>
              </w:numPr>
              <w:spacing w:after="0" w:line="360" w:lineRule="auto"/>
              <w:rPr>
                <w:rFonts w:ascii="Calibri" w:eastAsia="Times New Roman" w:hAnsi="Calibri" w:cs="Times New Roman"/>
                <w:iCs/>
                <w:color w:val="000000"/>
                <w:sz w:val="24"/>
                <w:szCs w:val="24"/>
                <w:lang w:val="en-GB" w:eastAsia="en-GB"/>
              </w:rPr>
            </w:pPr>
            <w:r w:rsidRPr="006C36A7">
              <w:rPr>
                <w:rFonts w:ascii="Calibri" w:eastAsia="Times New Roman" w:hAnsi="Calibri" w:cs="Times New Roman"/>
                <w:iCs/>
                <w:color w:val="000000"/>
                <w:sz w:val="24"/>
                <w:szCs w:val="24"/>
                <w:lang w:val="en-GB" w:eastAsia="en-GB"/>
              </w:rPr>
              <w:t xml:space="preserve">Short-term mobility with a mandatory virtual component </w:t>
            </w:r>
            <w:sdt>
              <w:sdtPr>
                <w:rPr>
                  <w:rFonts w:ascii="MS Gothic" w:eastAsia="MS Gothic" w:hAnsi="MS Gothic" w:cs="Times New Roman"/>
                  <w:iCs/>
                  <w:color w:val="000000"/>
                  <w:sz w:val="24"/>
                  <w:szCs w:val="24"/>
                  <w:lang w:val="en-GB" w:eastAsia="en-GB"/>
                </w:rPr>
                <w:id w:val="888067301"/>
                <w14:checkbox>
                  <w14:checked w14:val="1"/>
                  <w14:checkedState w14:val="2612" w14:font="MS Gothic"/>
                  <w14:uncheckedState w14:val="2610" w14:font="MS Gothic"/>
                </w14:checkbox>
              </w:sdtPr>
              <w:sdtContent>
                <w:r w:rsidR="00C622CE" w:rsidRPr="006C36A7">
                  <w:rPr>
                    <w:rFonts w:ascii="MS Gothic" w:eastAsia="MS Gothic" w:hAnsi="MS Gothic" w:cs="Times New Roman" w:hint="eastAsia"/>
                    <w:iCs/>
                    <w:color w:val="000000"/>
                    <w:sz w:val="24"/>
                    <w:szCs w:val="24"/>
                    <w:lang w:val="en-GB" w:eastAsia="en-GB"/>
                  </w:rPr>
                  <w:t>☒</w:t>
                </w:r>
              </w:sdtContent>
            </w:sdt>
          </w:p>
          <w:p w14:paraId="3A8EB6C8" w14:textId="5692ACD9" w:rsidR="00481298" w:rsidRPr="006C36A7" w:rsidRDefault="00481298" w:rsidP="008C6E35">
            <w:pPr>
              <w:pStyle w:val="a9"/>
              <w:numPr>
                <w:ilvl w:val="0"/>
                <w:numId w:val="1"/>
              </w:numPr>
              <w:spacing w:after="0" w:line="360" w:lineRule="auto"/>
              <w:rPr>
                <w:rFonts w:ascii="Calibri" w:eastAsia="Times New Roman" w:hAnsi="Calibri" w:cs="Times New Roman"/>
                <w:i/>
                <w:iCs/>
                <w:color w:val="000000"/>
                <w:sz w:val="24"/>
                <w:szCs w:val="24"/>
                <w:lang w:val="en-GB" w:eastAsia="en-GB"/>
              </w:rPr>
            </w:pPr>
            <w:r w:rsidRPr="006C36A7">
              <w:rPr>
                <w:rFonts w:ascii="Calibri" w:eastAsia="Times New Roman" w:hAnsi="Calibri" w:cs="Times New Roman"/>
                <w:iCs/>
                <w:color w:val="000000"/>
                <w:sz w:val="24"/>
                <w:szCs w:val="24"/>
                <w:lang w:val="en-GB" w:eastAsia="en-GB"/>
              </w:rPr>
              <w:t xml:space="preserve">Short-term doctoral mobility </w:t>
            </w:r>
            <w:sdt>
              <w:sdtPr>
                <w:rPr>
                  <w:rFonts w:ascii="MS Gothic" w:eastAsia="MS Gothic" w:hAnsi="MS Gothic" w:cs="Times New Roman"/>
                  <w:iCs/>
                  <w:color w:val="000000"/>
                  <w:sz w:val="24"/>
                  <w:szCs w:val="24"/>
                  <w:lang w:val="en-GB" w:eastAsia="en-GB"/>
                </w:rPr>
                <w:id w:val="-452025017"/>
                <w14:checkbox>
                  <w14:checked w14:val="0"/>
                  <w14:checkedState w14:val="2612" w14:font="MS Gothic"/>
                  <w14:uncheckedState w14:val="2610" w14:font="MS Gothic"/>
                </w14:checkbox>
              </w:sdtPr>
              <w:sdtContent>
                <w:r w:rsidR="006C36A7" w:rsidRPr="006C36A7">
                  <w:rPr>
                    <w:rFonts w:ascii="MS Gothic" w:eastAsia="MS Gothic" w:hAnsi="MS Gothic" w:cs="Times New Roman" w:hint="eastAsia"/>
                    <w:iCs/>
                    <w:color w:val="000000"/>
                    <w:sz w:val="24"/>
                    <w:szCs w:val="24"/>
                    <w:lang w:val="en-GB" w:eastAsia="en-GB"/>
                  </w:rPr>
                  <w:t>☐</w:t>
                </w:r>
              </w:sdtContent>
            </w:sdt>
            <w:r w:rsidRPr="006C36A7">
              <w:rPr>
                <w:rFonts w:ascii="Calibri" w:eastAsia="Times New Roman" w:hAnsi="Calibri" w:cs="Times New Roman"/>
                <w:iCs/>
                <w:color w:val="000000"/>
                <w:sz w:val="24"/>
                <w:szCs w:val="24"/>
                <w:lang w:val="en-GB" w:eastAsia="en-GB"/>
              </w:rPr>
              <w:t xml:space="preserve">  /  Virtual </w:t>
            </w:r>
            <w:proofErr w:type="gramStart"/>
            <w:r w:rsidRPr="006C36A7">
              <w:rPr>
                <w:rFonts w:ascii="Calibri" w:eastAsia="Times New Roman" w:hAnsi="Calibri" w:cs="Times New Roman"/>
                <w:iCs/>
                <w:color w:val="000000"/>
                <w:sz w:val="24"/>
                <w:szCs w:val="24"/>
                <w:lang w:val="en-GB" w:eastAsia="en-GB"/>
              </w:rPr>
              <w:t xml:space="preserve">component  </w:t>
            </w:r>
            <w:r w:rsidRPr="006C36A7">
              <w:rPr>
                <w:rFonts w:ascii="Calibri" w:eastAsia="Times New Roman" w:hAnsi="Calibri" w:cs="Times New Roman"/>
                <w:i/>
                <w:iCs/>
                <w:color w:val="000000"/>
                <w:sz w:val="24"/>
                <w:szCs w:val="24"/>
                <w:lang w:val="en-GB" w:eastAsia="en-GB"/>
              </w:rPr>
              <w:t>(</w:t>
            </w:r>
            <w:proofErr w:type="gramEnd"/>
            <w:r w:rsidRPr="006C36A7">
              <w:rPr>
                <w:rFonts w:ascii="Calibri" w:eastAsia="Times New Roman" w:hAnsi="Calibri" w:cs="Times New Roman"/>
                <w:i/>
                <w:iCs/>
                <w:color w:val="000000"/>
                <w:sz w:val="24"/>
                <w:szCs w:val="24"/>
                <w:lang w:val="en-GB" w:eastAsia="en-GB"/>
              </w:rPr>
              <w:t>only if applicable</w:t>
            </w:r>
            <w:r w:rsidRPr="006C36A7">
              <w:rPr>
                <w:rFonts w:ascii="Calibri" w:eastAsia="Times New Roman" w:hAnsi="Calibri" w:cs="Times New Roman"/>
                <w:bCs/>
                <w:i/>
                <w:iCs/>
                <w:color w:val="000000"/>
                <w:sz w:val="24"/>
                <w:szCs w:val="24"/>
                <w:lang w:val="en-GB" w:eastAsia="en-GB"/>
              </w:rPr>
              <w:t>)</w:t>
            </w:r>
            <w:r w:rsidRPr="006C36A7">
              <w:rPr>
                <w:rFonts w:ascii="Calibri" w:eastAsia="Times New Roman" w:hAnsi="Calibri" w:cs="Times New Roman"/>
                <w:iCs/>
                <w:color w:val="000000"/>
                <w:sz w:val="24"/>
                <w:szCs w:val="24"/>
                <w:lang w:val="en-GB" w:eastAsia="en-GB"/>
              </w:rPr>
              <w:t xml:space="preserve"> </w:t>
            </w:r>
            <w:sdt>
              <w:sdtPr>
                <w:rPr>
                  <w:rFonts w:ascii="MS Gothic" w:eastAsia="MS Gothic" w:hAnsi="MS Gothic" w:cs="Times New Roman"/>
                  <w:iCs/>
                  <w:color w:val="000000"/>
                  <w:sz w:val="24"/>
                  <w:szCs w:val="24"/>
                  <w:lang w:val="en-GB" w:eastAsia="en-GB"/>
                </w:rPr>
                <w:id w:val="570705732"/>
                <w14:checkbox>
                  <w14:checked w14:val="0"/>
                  <w14:checkedState w14:val="2612" w14:font="MS Gothic"/>
                  <w14:uncheckedState w14:val="2610" w14:font="MS Gothic"/>
                </w14:checkbox>
              </w:sdtPr>
              <w:sdtContent>
                <w:r w:rsidR="006C36A7" w:rsidRPr="006C36A7">
                  <w:rPr>
                    <w:rFonts w:ascii="MS Gothic" w:eastAsia="MS Gothic" w:hAnsi="MS Gothic" w:cs="Times New Roman" w:hint="eastAsia"/>
                    <w:iCs/>
                    <w:color w:val="000000"/>
                    <w:sz w:val="24"/>
                    <w:szCs w:val="24"/>
                    <w:lang w:val="en-GB" w:eastAsia="en-GB"/>
                  </w:rPr>
                  <w:t>☐</w:t>
                </w:r>
              </w:sdtContent>
            </w:sdt>
          </w:p>
        </w:tc>
        <w:tc>
          <w:tcPr>
            <w:tcW w:w="4819" w:type="dxa"/>
          </w:tcPr>
          <w:p w14:paraId="1006E449" w14:textId="77777777" w:rsidR="00481298" w:rsidRPr="006C36A7" w:rsidRDefault="00481298" w:rsidP="008C6E35">
            <w:pPr>
              <w:spacing w:before="120" w:after="120" w:line="360" w:lineRule="auto"/>
              <w:ind w:right="28"/>
              <w:rPr>
                <w:rFonts w:ascii="Calibri" w:eastAsia="Times New Roman" w:hAnsi="Calibri" w:cs="Times New Roman"/>
                <w:bCs/>
                <w:iCs/>
                <w:color w:val="000000"/>
                <w:sz w:val="24"/>
                <w:szCs w:val="24"/>
                <w:lang w:val="en-GB" w:eastAsia="en-GB"/>
              </w:rPr>
            </w:pPr>
            <w:r w:rsidRPr="006C36A7">
              <w:rPr>
                <w:rFonts w:ascii="Calibri" w:eastAsia="Times New Roman" w:hAnsi="Calibri" w:cs="Times New Roman"/>
                <w:bCs/>
                <w:iCs/>
                <w:color w:val="000000"/>
                <w:sz w:val="24"/>
                <w:szCs w:val="24"/>
                <w:lang w:val="en-GB" w:eastAsia="en-GB"/>
              </w:rPr>
              <w:t>Planned period of the physical mobility:</w:t>
            </w:r>
          </w:p>
          <w:p w14:paraId="73707EE3" w14:textId="727C6496" w:rsidR="00481298" w:rsidRPr="006C36A7"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24"/>
                <w:szCs w:val="24"/>
                <w:lang w:val="en-GB" w:eastAsia="en-GB"/>
              </w:rPr>
            </w:pPr>
            <w:r w:rsidRPr="006C36A7">
              <w:rPr>
                <w:rFonts w:ascii="Calibri" w:eastAsia="Times New Roman" w:hAnsi="Calibri" w:cs="Times New Roman"/>
                <w:bCs/>
                <w:iCs/>
                <w:color w:val="000000"/>
                <w:sz w:val="24"/>
                <w:szCs w:val="24"/>
                <w:lang w:val="en-GB" w:eastAsia="en-GB"/>
              </w:rPr>
              <w:t xml:space="preserve">Academic year [year/year] </w:t>
            </w:r>
            <w:r w:rsidR="00C622CE" w:rsidRPr="006C36A7">
              <w:rPr>
                <w:rFonts w:ascii="Calibri" w:eastAsia="Times New Roman" w:hAnsi="Calibri" w:cs="Times New Roman"/>
                <w:bCs/>
                <w:iCs/>
                <w:color w:val="000000"/>
                <w:sz w:val="24"/>
                <w:szCs w:val="24"/>
                <w:lang w:val="en-GB" w:eastAsia="en-GB"/>
              </w:rPr>
              <w:t>2026</w:t>
            </w:r>
          </w:p>
          <w:p w14:paraId="3DC0B769" w14:textId="7268C622" w:rsidR="00481298" w:rsidRPr="006C36A7"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24"/>
                <w:szCs w:val="24"/>
                <w:lang w:val="en-GB" w:eastAsia="en-GB"/>
              </w:rPr>
            </w:pPr>
            <w:r w:rsidRPr="006C36A7">
              <w:rPr>
                <w:rFonts w:ascii="Calibri" w:eastAsia="Times New Roman" w:hAnsi="Calibri" w:cs="Times New Roman"/>
                <w:bCs/>
                <w:iCs/>
                <w:color w:val="000000"/>
                <w:sz w:val="24"/>
                <w:szCs w:val="24"/>
                <w:lang w:val="en-GB" w:eastAsia="en-GB"/>
              </w:rPr>
              <w:t xml:space="preserve">from [&lt;day&gt;/month/year] </w:t>
            </w:r>
            <w:r w:rsidR="00832C2C">
              <w:rPr>
                <w:rFonts w:ascii="Calibri" w:eastAsia="Times New Roman" w:hAnsi="Calibri" w:cs="Times New Roman"/>
                <w:bCs/>
                <w:iCs/>
                <w:color w:val="000000"/>
                <w:sz w:val="24"/>
                <w:szCs w:val="24"/>
                <w:lang w:val="en-GB" w:eastAsia="en-GB"/>
              </w:rPr>
              <w:t>06</w:t>
            </w:r>
            <w:r w:rsidR="00C622CE" w:rsidRPr="006C36A7">
              <w:rPr>
                <w:rFonts w:ascii="Calibri" w:eastAsia="Times New Roman" w:hAnsi="Calibri" w:cs="Times New Roman"/>
                <w:bCs/>
                <w:iCs/>
                <w:color w:val="000000"/>
                <w:sz w:val="24"/>
                <w:szCs w:val="24"/>
                <w:lang w:val="en-GB" w:eastAsia="en-GB"/>
              </w:rPr>
              <w:t>/0</w:t>
            </w:r>
            <w:r w:rsidR="006C36A7">
              <w:rPr>
                <w:rFonts w:ascii="Calibri" w:eastAsia="Times New Roman" w:hAnsi="Calibri" w:cs="Times New Roman"/>
                <w:bCs/>
                <w:iCs/>
                <w:color w:val="000000"/>
                <w:sz w:val="24"/>
                <w:szCs w:val="24"/>
                <w:lang w:val="en-GB" w:eastAsia="en-GB"/>
              </w:rPr>
              <w:t>7</w:t>
            </w:r>
            <w:r w:rsidR="00C622CE" w:rsidRPr="006C36A7">
              <w:rPr>
                <w:rFonts w:ascii="Calibri" w:eastAsia="Times New Roman" w:hAnsi="Calibri" w:cs="Times New Roman"/>
                <w:bCs/>
                <w:iCs/>
                <w:color w:val="000000"/>
                <w:sz w:val="24"/>
                <w:szCs w:val="24"/>
                <w:lang w:val="en-GB" w:eastAsia="en-GB"/>
              </w:rPr>
              <w:t>/2026</w:t>
            </w:r>
          </w:p>
          <w:p w14:paraId="2549152E" w14:textId="6BF56AF6" w:rsidR="00481298" w:rsidRPr="006C36A7" w:rsidRDefault="00481298" w:rsidP="008C6E35">
            <w:pPr>
              <w:pStyle w:val="a9"/>
              <w:numPr>
                <w:ilvl w:val="0"/>
                <w:numId w:val="3"/>
              </w:numPr>
              <w:spacing w:after="120" w:line="360" w:lineRule="auto"/>
              <w:ind w:right="28"/>
              <w:rPr>
                <w:rFonts w:ascii="Calibri" w:eastAsia="Times New Roman" w:hAnsi="Calibri" w:cs="Times New Roman"/>
                <w:bCs/>
                <w:iCs/>
                <w:color w:val="000000"/>
                <w:sz w:val="24"/>
                <w:szCs w:val="24"/>
                <w:lang w:val="en-GB" w:eastAsia="en-GB"/>
              </w:rPr>
            </w:pPr>
            <w:r w:rsidRPr="006C36A7">
              <w:rPr>
                <w:rFonts w:ascii="Calibri" w:eastAsia="Times New Roman" w:hAnsi="Calibri" w:cs="Times New Roman"/>
                <w:bCs/>
                <w:iCs/>
                <w:color w:val="000000"/>
                <w:sz w:val="24"/>
                <w:szCs w:val="24"/>
                <w:lang w:val="en-GB" w:eastAsia="en-GB"/>
              </w:rPr>
              <w:t xml:space="preserve">to [&lt;day&gt;/month/year] </w:t>
            </w:r>
            <w:r w:rsidR="00C630D8">
              <w:rPr>
                <w:rFonts w:ascii="Calibri" w:eastAsia="Times New Roman" w:hAnsi="Calibri" w:cs="Times New Roman"/>
                <w:bCs/>
                <w:iCs/>
                <w:color w:val="000000"/>
                <w:sz w:val="24"/>
                <w:szCs w:val="24"/>
                <w:lang w:val="en-GB" w:eastAsia="en-GB"/>
              </w:rPr>
              <w:t>17</w:t>
            </w:r>
            <w:r w:rsidR="00C622CE" w:rsidRPr="006C36A7">
              <w:rPr>
                <w:rFonts w:ascii="Calibri" w:eastAsia="Times New Roman" w:hAnsi="Calibri" w:cs="Times New Roman"/>
                <w:bCs/>
                <w:iCs/>
                <w:color w:val="000000"/>
                <w:sz w:val="24"/>
                <w:szCs w:val="24"/>
                <w:lang w:val="en-GB" w:eastAsia="en-GB"/>
              </w:rPr>
              <w:t>/0</w:t>
            </w:r>
            <w:r w:rsidR="006C36A7">
              <w:rPr>
                <w:rFonts w:ascii="Calibri" w:eastAsia="Times New Roman" w:hAnsi="Calibri" w:cs="Times New Roman"/>
                <w:bCs/>
                <w:iCs/>
                <w:color w:val="000000"/>
                <w:sz w:val="24"/>
                <w:szCs w:val="24"/>
                <w:lang w:val="en-GB" w:eastAsia="en-GB"/>
              </w:rPr>
              <w:t>7</w:t>
            </w:r>
            <w:r w:rsidR="00C622CE" w:rsidRPr="006C36A7">
              <w:rPr>
                <w:rFonts w:ascii="Calibri" w:eastAsia="Times New Roman" w:hAnsi="Calibri" w:cs="Times New Roman"/>
                <w:bCs/>
                <w:iCs/>
                <w:color w:val="000000"/>
                <w:sz w:val="24"/>
                <w:szCs w:val="24"/>
                <w:lang w:val="en-GB" w:eastAsia="en-GB"/>
              </w:rPr>
              <w:t>/2026</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D45FA53" w14:textId="61EE588B" w:rsidR="00481298" w:rsidRDefault="00481298" w:rsidP="00FB3725">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08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059"/>
        <w:gridCol w:w="2551"/>
        <w:gridCol w:w="3526"/>
        <w:gridCol w:w="1276"/>
        <w:gridCol w:w="1423"/>
      </w:tblGrid>
      <w:tr w:rsidR="00481298" w14:paraId="4C781C7A" w14:textId="77777777" w:rsidTr="00FB3725">
        <w:trPr>
          <w:trHeight w:hRule="exact" w:val="706"/>
          <w:jc w:val="center"/>
        </w:trPr>
        <w:tc>
          <w:tcPr>
            <w:tcW w:w="1053" w:type="dxa"/>
            <w:vMerge w:val="restart"/>
            <w:shd w:val="clear" w:color="auto" w:fill="D5DCE4" w:themeFill="text2" w:themeFillTint="33"/>
            <w:vAlign w:val="center"/>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059" w:type="dxa"/>
            <w:shd w:val="clear" w:color="auto" w:fill="D0CECE" w:themeFill="background2" w:themeFillShade="E6"/>
            <w:vAlign w:val="center"/>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2551" w:type="dxa"/>
            <w:shd w:val="clear" w:color="auto" w:fill="D0CECE" w:themeFill="background2" w:themeFillShade="E6"/>
            <w:vAlign w:val="center"/>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526" w:type="dxa"/>
            <w:shd w:val="clear" w:color="auto" w:fill="D0CECE" w:themeFill="background2" w:themeFillShade="E6"/>
            <w:vAlign w:val="center"/>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vAlign w:val="center"/>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vAlign w:val="center"/>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FB3725" w14:paraId="1ADF0876" w14:textId="77777777" w:rsidTr="00FB3725">
        <w:trPr>
          <w:trHeight w:hRule="exact" w:val="2582"/>
          <w:jc w:val="center"/>
        </w:trPr>
        <w:tc>
          <w:tcPr>
            <w:tcW w:w="1053" w:type="dxa"/>
            <w:vMerge/>
            <w:shd w:val="clear" w:color="auto" w:fill="D5DCE4" w:themeFill="text2" w:themeFillTint="33"/>
            <w:vAlign w:val="center"/>
          </w:tcPr>
          <w:p w14:paraId="36E9550E" w14:textId="77777777" w:rsidR="00FB3725" w:rsidRDefault="00FB3725" w:rsidP="008C6E35">
            <w:pPr>
              <w:ind w:right="-993"/>
              <w:rPr>
                <w:rFonts w:cs="Calibri"/>
                <w:b/>
                <w:sz w:val="16"/>
                <w:szCs w:val="16"/>
                <w:lang w:val="en-GB"/>
              </w:rPr>
            </w:pPr>
          </w:p>
        </w:tc>
        <w:tc>
          <w:tcPr>
            <w:tcW w:w="1059" w:type="dxa"/>
            <w:vAlign w:val="center"/>
          </w:tcPr>
          <w:p w14:paraId="5158AE8A" w14:textId="77777777" w:rsidR="00C630D8" w:rsidRDefault="00C630D8" w:rsidP="008C6E35">
            <w:pPr>
              <w:ind w:right="-993"/>
              <w:rPr>
                <w:rFonts w:cs="Calibri"/>
                <w:bCs/>
                <w:sz w:val="16"/>
                <w:szCs w:val="16"/>
              </w:rPr>
            </w:pPr>
            <w:r w:rsidRPr="00C630D8">
              <w:rPr>
                <w:rFonts w:cs="Calibri"/>
                <w:bCs/>
                <w:sz w:val="16"/>
                <w:szCs w:val="16"/>
              </w:rPr>
              <w:t>2025-1-EL01-</w:t>
            </w:r>
          </w:p>
          <w:p w14:paraId="1A4FC1D2" w14:textId="77777777" w:rsidR="00C630D8" w:rsidRDefault="00C630D8" w:rsidP="008C6E35">
            <w:pPr>
              <w:ind w:right="-993"/>
              <w:rPr>
                <w:rFonts w:cs="Calibri"/>
                <w:bCs/>
                <w:sz w:val="16"/>
                <w:szCs w:val="16"/>
              </w:rPr>
            </w:pPr>
            <w:r w:rsidRPr="00C630D8">
              <w:rPr>
                <w:rFonts w:cs="Calibri"/>
                <w:bCs/>
                <w:sz w:val="16"/>
                <w:szCs w:val="16"/>
              </w:rPr>
              <w:t>KA131-HED-</w:t>
            </w:r>
          </w:p>
          <w:p w14:paraId="3070C0AB" w14:textId="522CC35E" w:rsidR="00FB3725" w:rsidRPr="00C622CE" w:rsidRDefault="00C630D8" w:rsidP="008C6E35">
            <w:pPr>
              <w:ind w:right="-993"/>
              <w:rPr>
                <w:rFonts w:cs="Calibri"/>
                <w:bCs/>
                <w:sz w:val="16"/>
                <w:szCs w:val="16"/>
              </w:rPr>
            </w:pPr>
            <w:r w:rsidRPr="00C630D8">
              <w:rPr>
                <w:rFonts w:cs="Calibri"/>
                <w:bCs/>
                <w:sz w:val="16"/>
                <w:szCs w:val="16"/>
              </w:rPr>
              <w:t>000316067-4</w:t>
            </w:r>
          </w:p>
        </w:tc>
        <w:tc>
          <w:tcPr>
            <w:tcW w:w="2551" w:type="dxa"/>
            <w:vAlign w:val="center"/>
          </w:tcPr>
          <w:p w14:paraId="709C3E01" w14:textId="7272F95D" w:rsidR="00FB3725" w:rsidRPr="00FB3725" w:rsidRDefault="00FB3725" w:rsidP="009214AC">
            <w:pPr>
              <w:ind w:right="-103"/>
              <w:jc w:val="center"/>
              <w:rPr>
                <w:rFonts w:cs="Calibri"/>
                <w:bCs/>
                <w:sz w:val="16"/>
                <w:szCs w:val="16"/>
                <w:lang w:val="en-GB"/>
              </w:rPr>
            </w:pPr>
            <w:r w:rsidRPr="00FB3725">
              <w:rPr>
                <w:rFonts w:cs="Calibri"/>
                <w:bCs/>
                <w:sz w:val="16"/>
                <w:szCs w:val="16"/>
                <w:lang w:val="en-GB"/>
              </w:rPr>
              <w:t xml:space="preserve">CM </w:t>
            </w:r>
            <w:r w:rsidR="006C36A7">
              <w:rPr>
                <w:rFonts w:cs="Calibri"/>
                <w:bCs/>
                <w:sz w:val="16"/>
                <w:szCs w:val="16"/>
                <w:lang w:val="en-GB"/>
              </w:rPr>
              <w:t>SUMMER</w:t>
            </w:r>
            <w:r w:rsidR="009214AC">
              <w:rPr>
                <w:rFonts w:cs="Calibri"/>
                <w:bCs/>
                <w:sz w:val="16"/>
                <w:szCs w:val="16"/>
                <w:lang w:val="en-GB"/>
              </w:rPr>
              <w:t xml:space="preserve"> MILITARY </w:t>
            </w:r>
            <w:r w:rsidR="0093591E">
              <w:rPr>
                <w:rFonts w:cs="Calibri"/>
                <w:bCs/>
                <w:sz w:val="16"/>
                <w:szCs w:val="16"/>
                <w:lang w:val="en-GB"/>
              </w:rPr>
              <w:t>LEADERSHIP</w:t>
            </w:r>
            <w:r w:rsidR="006C36A7">
              <w:rPr>
                <w:rFonts w:cs="Calibri"/>
                <w:bCs/>
                <w:sz w:val="16"/>
                <w:szCs w:val="16"/>
                <w:lang w:val="en-GB"/>
              </w:rPr>
              <w:t xml:space="preserve"> B</w:t>
            </w:r>
            <w:r w:rsidRPr="00FB3725">
              <w:rPr>
                <w:rFonts w:cs="Calibri"/>
                <w:bCs/>
                <w:sz w:val="16"/>
                <w:szCs w:val="16"/>
                <w:lang w:val="en-GB"/>
              </w:rPr>
              <w:br/>
            </w:r>
          </w:p>
        </w:tc>
        <w:tc>
          <w:tcPr>
            <w:tcW w:w="3526" w:type="dxa"/>
            <w:vAlign w:val="center"/>
          </w:tcPr>
          <w:p w14:paraId="35039D0E" w14:textId="46A4F422" w:rsidR="00FB3725" w:rsidRDefault="00FB3725" w:rsidP="008C6E35">
            <w:pPr>
              <w:rPr>
                <w:rFonts w:ascii="Calibri" w:eastAsia="Times New Roman" w:hAnsi="Calibri" w:cs="Times New Roman"/>
                <w:color w:val="000000"/>
                <w:sz w:val="16"/>
                <w:szCs w:val="16"/>
                <w:lang w:val="en-GB" w:eastAsia="en-GB"/>
              </w:rPr>
            </w:pPr>
            <w:r w:rsidRPr="00FB3725">
              <w:rPr>
                <w:rFonts w:ascii="Calibri" w:eastAsia="Times New Roman" w:hAnsi="Calibri" w:cs="Times New Roman"/>
                <w:color w:val="000000"/>
                <w:sz w:val="16"/>
                <w:szCs w:val="16"/>
                <w:lang w:val="en-GB" w:eastAsia="en-GB"/>
              </w:rPr>
              <w:t>Study materials will be provided to help participants effectively navigate challenging field scenarios. These resources are designed to foster a shared understanding of the Military Decision-Making Process (MDMP)</w:t>
            </w:r>
            <w:r w:rsidR="00C622CE">
              <w:rPr>
                <w:rFonts w:ascii="Calibri" w:eastAsia="Times New Roman" w:hAnsi="Calibri" w:cs="Times New Roman"/>
                <w:color w:val="000000"/>
                <w:sz w:val="16"/>
                <w:szCs w:val="16"/>
                <w:lang w:val="en-GB" w:eastAsia="en-GB"/>
              </w:rPr>
              <w:t xml:space="preserve"> and basic tactics theory</w:t>
            </w:r>
            <w:r w:rsidRPr="00FB3725">
              <w:rPr>
                <w:rFonts w:ascii="Calibri" w:eastAsia="Times New Roman" w:hAnsi="Calibri" w:cs="Times New Roman"/>
                <w:color w:val="000000"/>
                <w:sz w:val="16"/>
                <w:szCs w:val="16"/>
                <w:lang w:val="en-GB" w:eastAsia="en-GB"/>
              </w:rPr>
              <w:t>, ensuring that all participants, regardless of their diverse backgrounds, can collaborate seamlessly and harmoniously. By building a common knowledge base, we aim to empower participants to work together efficiently and make well-informed decisions under pressure.</w:t>
            </w:r>
          </w:p>
        </w:tc>
        <w:tc>
          <w:tcPr>
            <w:tcW w:w="1276" w:type="dxa"/>
            <w:vAlign w:val="center"/>
          </w:tcPr>
          <w:p w14:paraId="66AD031E" w14:textId="016E9E2A" w:rsidR="00FB3725" w:rsidRDefault="009214AC" w:rsidP="009331C3">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w:t>
            </w:r>
          </w:p>
        </w:tc>
        <w:tc>
          <w:tcPr>
            <w:tcW w:w="1423" w:type="dxa"/>
            <w:vAlign w:val="center"/>
          </w:tcPr>
          <w:p w14:paraId="165D785B" w14:textId="3A907AC4" w:rsidR="00FB3725" w:rsidRDefault="00FB3725" w:rsidP="008C6E35">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YES</w:t>
            </w:r>
          </w:p>
        </w:tc>
      </w:tr>
      <w:tr w:rsidR="00481298" w14:paraId="51B264DF" w14:textId="77777777" w:rsidTr="00FB3725">
        <w:trPr>
          <w:trHeight w:hRule="exact" w:val="289"/>
          <w:jc w:val="center"/>
        </w:trPr>
        <w:tc>
          <w:tcPr>
            <w:tcW w:w="1053" w:type="dxa"/>
            <w:vMerge/>
            <w:shd w:val="clear" w:color="auto" w:fill="D5DCE4" w:themeFill="text2" w:themeFillTint="33"/>
            <w:vAlign w:val="center"/>
          </w:tcPr>
          <w:p w14:paraId="0CC70D54" w14:textId="77777777" w:rsidR="00481298" w:rsidRDefault="00481298" w:rsidP="008C6E35">
            <w:pPr>
              <w:ind w:right="-993"/>
              <w:rPr>
                <w:rFonts w:cs="Calibri"/>
                <w:b/>
                <w:sz w:val="16"/>
                <w:szCs w:val="16"/>
                <w:lang w:val="en-GB"/>
              </w:rPr>
            </w:pPr>
          </w:p>
        </w:tc>
        <w:tc>
          <w:tcPr>
            <w:tcW w:w="1059" w:type="dxa"/>
            <w:vAlign w:val="center"/>
          </w:tcPr>
          <w:p w14:paraId="4B570A7C" w14:textId="77777777" w:rsidR="00481298" w:rsidRDefault="00481298" w:rsidP="008C6E35">
            <w:pPr>
              <w:ind w:right="-993"/>
              <w:rPr>
                <w:rFonts w:cs="Calibri"/>
                <w:b/>
                <w:sz w:val="16"/>
                <w:szCs w:val="16"/>
                <w:lang w:val="en-GB"/>
              </w:rPr>
            </w:pPr>
          </w:p>
        </w:tc>
        <w:tc>
          <w:tcPr>
            <w:tcW w:w="2551" w:type="dxa"/>
            <w:vAlign w:val="center"/>
          </w:tcPr>
          <w:p w14:paraId="653A0F03" w14:textId="77777777" w:rsidR="00481298" w:rsidRDefault="00481298" w:rsidP="008C6E35">
            <w:pPr>
              <w:ind w:right="-993"/>
              <w:rPr>
                <w:rFonts w:cs="Calibri"/>
                <w:b/>
                <w:sz w:val="16"/>
                <w:szCs w:val="16"/>
                <w:lang w:val="en-GB"/>
              </w:rPr>
            </w:pPr>
          </w:p>
        </w:tc>
        <w:tc>
          <w:tcPr>
            <w:tcW w:w="3526" w:type="dxa"/>
            <w:vAlign w:val="center"/>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vAlign w:val="center"/>
          </w:tcPr>
          <w:p w14:paraId="72600ED6" w14:textId="7714A0BA"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6C36A7">
              <w:rPr>
                <w:rFonts w:ascii="Calibri" w:eastAsia="Times New Roman" w:hAnsi="Calibri" w:cs="Times New Roman"/>
                <w:b/>
                <w:bCs/>
                <w:color w:val="000000"/>
                <w:sz w:val="16"/>
                <w:szCs w:val="16"/>
                <w:lang w:val="en-GB" w:eastAsia="en-GB"/>
              </w:rPr>
              <w:t>3</w:t>
            </w:r>
          </w:p>
        </w:tc>
        <w:tc>
          <w:tcPr>
            <w:tcW w:w="1423" w:type="dxa"/>
            <w:vAlign w:val="center"/>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2C658B9A" w14:textId="77777777" w:rsidR="00FB3725" w:rsidRDefault="00FB3725" w:rsidP="00481298">
      <w:pPr>
        <w:spacing w:after="0"/>
        <w:jc w:val="center"/>
        <w:rPr>
          <w:rFonts w:ascii="Verdana" w:eastAsia="Times New Roman" w:hAnsi="Verdana" w:cs="Arial"/>
          <w:b/>
          <w:color w:val="002060"/>
          <w:sz w:val="24"/>
          <w:szCs w:val="36"/>
          <w:lang w:val="en-GB"/>
        </w:rPr>
      </w:pPr>
    </w:p>
    <w:p w14:paraId="1748519D" w14:textId="0B7BEDFC"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8071"/>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FB3725">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FB372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FB372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FB372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FB372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FB372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FB372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4EC95D2E"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Evangelos Zarkos</w:t>
            </w:r>
          </w:p>
        </w:tc>
        <w:tc>
          <w:tcPr>
            <w:tcW w:w="2036" w:type="dxa"/>
            <w:tcBorders>
              <w:top w:val="nil"/>
              <w:left w:val="single" w:sz="8" w:space="0" w:color="auto"/>
              <w:bottom w:val="double" w:sz="6" w:space="0" w:color="auto"/>
              <w:right w:val="nil"/>
            </w:tcBorders>
            <w:noWrap/>
            <w:vAlign w:val="center"/>
            <w:hideMark/>
          </w:tcPr>
          <w:p w14:paraId="5D007330" w14:textId="77777777" w:rsidR="006C36A7" w:rsidRPr="006C36A7" w:rsidRDefault="006C36A7" w:rsidP="006C36A7">
            <w:pPr>
              <w:spacing w:after="0" w:line="240" w:lineRule="auto"/>
              <w:jc w:val="center"/>
              <w:rPr>
                <w:rFonts w:ascii="Calibri" w:eastAsia="Times New Roman" w:hAnsi="Calibri" w:cs="Times New Roman"/>
                <w:sz w:val="16"/>
                <w:szCs w:val="16"/>
                <w:lang w:val="en-GB" w:eastAsia="en-GB"/>
              </w:rPr>
            </w:pPr>
            <w:r w:rsidRPr="006C36A7">
              <w:rPr>
                <w:rFonts w:ascii="Calibri" w:eastAsia="Times New Roman" w:hAnsi="Calibri" w:cs="Times New Roman"/>
                <w:sz w:val="16"/>
                <w:szCs w:val="16"/>
                <w:lang w:val="en-GB" w:eastAsia="en-GB"/>
              </w:rPr>
              <w:t>erasmus@sse.gr</w:t>
            </w:r>
          </w:p>
          <w:p w14:paraId="56F5C0DA" w14:textId="5C30267A" w:rsidR="0053080C" w:rsidRPr="002A00C3" w:rsidRDefault="006C36A7" w:rsidP="006C36A7">
            <w:pPr>
              <w:spacing w:after="0" w:line="240" w:lineRule="auto"/>
              <w:jc w:val="center"/>
              <w:rPr>
                <w:rFonts w:ascii="Calibri" w:eastAsia="Times New Roman" w:hAnsi="Calibri" w:cs="Times New Roman"/>
                <w:color w:val="000000"/>
                <w:sz w:val="16"/>
                <w:szCs w:val="16"/>
                <w:lang w:val="en-GB" w:eastAsia="en-GB"/>
              </w:rPr>
            </w:pPr>
            <w:r w:rsidRPr="006C36A7">
              <w:rPr>
                <w:rFonts w:ascii="Calibri" w:eastAsia="Times New Roman" w:hAnsi="Calibri" w:cs="Times New Roman"/>
                <w:sz w:val="16"/>
                <w:szCs w:val="16"/>
                <w:lang w:val="en-GB" w:eastAsia="en-GB"/>
              </w:rPr>
              <w:t>haa.icof@gmail.com</w:t>
            </w:r>
            <w:r w:rsidRPr="006C36A7">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r w:rsidR="00FB3725">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double" w:sz="6" w:space="0" w:color="auto"/>
              <w:right w:val="nil"/>
            </w:tcBorders>
            <w:noWrap/>
            <w:vAlign w:val="center"/>
            <w:hideMark/>
          </w:tcPr>
          <w:p w14:paraId="2CF43D3E" w14:textId="2FC4E9E2"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Cooperation Office</w:t>
            </w: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FB3725">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CE499D8" w14:textId="77777777" w:rsidR="00D666E5" w:rsidRDefault="00D666E5" w:rsidP="00481298">
      <w:pPr>
        <w:spacing w:after="120" w:line="240" w:lineRule="auto"/>
        <w:ind w:right="28"/>
        <w:jc w:val="center"/>
        <w:rPr>
          <w:rFonts w:ascii="Verdana" w:eastAsia="Times New Roman" w:hAnsi="Verdana" w:cs="Arial"/>
          <w:b/>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
                  <w:sz w:val="20"/>
                  <w:lang w:val="en-GB"/>
                </w:rPr>
                <w:t>Technical Documentation</w:t>
              </w:r>
            </w:hyperlink>
            <w:r>
              <w:rPr>
                <w:sz w:val="20"/>
                <w:lang w:val="en-GB"/>
              </w:rPr>
              <w:t xml:space="preserve"> page of the </w:t>
            </w:r>
            <w:hyperlink r:id="rId9" w:history="1">
              <w:r w:rsidRPr="003721A6">
                <w:rPr>
                  <w:rStyle w:val="-"/>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5F6B" w14:textId="77777777" w:rsidR="009F4CAB" w:rsidRDefault="009F4CAB">
      <w:pPr>
        <w:spacing w:after="0" w:line="240" w:lineRule="auto"/>
      </w:pPr>
      <w:r>
        <w:separator/>
      </w:r>
    </w:p>
  </w:endnote>
  <w:endnote w:type="continuationSeparator" w:id="0">
    <w:p w14:paraId="088E656F" w14:textId="77777777" w:rsidR="009F4CAB" w:rsidRDefault="009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570A" w14:textId="77777777" w:rsidR="009F4CAB" w:rsidRDefault="009F4CAB">
      <w:pPr>
        <w:spacing w:after="0" w:line="240" w:lineRule="auto"/>
      </w:pPr>
      <w:r>
        <w:separator/>
      </w:r>
    </w:p>
  </w:footnote>
  <w:footnote w:type="continuationSeparator" w:id="0">
    <w:p w14:paraId="06ABB6D7" w14:textId="77777777" w:rsidR="009F4CAB" w:rsidRDefault="009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06D29"/>
    <w:rsid w:val="00037D87"/>
    <w:rsid w:val="00062470"/>
    <w:rsid w:val="000C7F9E"/>
    <w:rsid w:val="000F209B"/>
    <w:rsid w:val="001057A8"/>
    <w:rsid w:val="00185864"/>
    <w:rsid w:val="001D26FB"/>
    <w:rsid w:val="002A5F26"/>
    <w:rsid w:val="002F66E4"/>
    <w:rsid w:val="003D1E11"/>
    <w:rsid w:val="003F008B"/>
    <w:rsid w:val="0047200F"/>
    <w:rsid w:val="00481298"/>
    <w:rsid w:val="004844EC"/>
    <w:rsid w:val="0053080C"/>
    <w:rsid w:val="00567EB1"/>
    <w:rsid w:val="00681C1C"/>
    <w:rsid w:val="006B6267"/>
    <w:rsid w:val="006C36A7"/>
    <w:rsid w:val="007057D4"/>
    <w:rsid w:val="007E5201"/>
    <w:rsid w:val="00832C2C"/>
    <w:rsid w:val="008636A7"/>
    <w:rsid w:val="008C6E35"/>
    <w:rsid w:val="009214AC"/>
    <w:rsid w:val="00930062"/>
    <w:rsid w:val="009331C3"/>
    <w:rsid w:val="0093591E"/>
    <w:rsid w:val="009F4CAB"/>
    <w:rsid w:val="00A16762"/>
    <w:rsid w:val="00B92A7A"/>
    <w:rsid w:val="00BD0BFD"/>
    <w:rsid w:val="00C622CE"/>
    <w:rsid w:val="00C630D8"/>
    <w:rsid w:val="00CC6834"/>
    <w:rsid w:val="00D666E5"/>
    <w:rsid w:val="00DB6BCE"/>
    <w:rsid w:val="00E67696"/>
    <w:rsid w:val="00E96C05"/>
    <w:rsid w:val="00F348F6"/>
    <w:rsid w:val="00F85D25"/>
    <w:rsid w:val="00FB372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298"/>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styleId="af0">
    <w:name w:val="Unresolved Mention"/>
    <w:basedOn w:val="a0"/>
    <w:uiPriority w:val="99"/>
    <w:semiHidden/>
    <w:unhideWhenUsed/>
    <w:rsid w:val="00FB3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1718</Words>
  <Characters>9282</Characters>
  <Application>Microsoft Office Word</Application>
  <DocSecurity>0</DocSecurity>
  <Lines>77</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Vagelis Zarkos</cp:lastModifiedBy>
  <cp:revision>12</cp:revision>
  <dcterms:created xsi:type="dcterms:W3CDTF">2023-06-07T13:58:00Z</dcterms:created>
  <dcterms:modified xsi:type="dcterms:W3CDTF">2026-03-30T17:46:00Z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