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4936ED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5CB28ADE" w:rsidR="00DF1F94" w:rsidRPr="004936ED" w:rsidRDefault="00795EDB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BG</w:t>
            </w:r>
          </w:p>
        </w:tc>
        <w:tc>
          <w:tcPr>
            <w:tcW w:w="3189" w:type="dxa"/>
          </w:tcPr>
          <w:p w14:paraId="74715F39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3D61C756" w:rsidR="00DF1F94" w:rsidRPr="004936ED" w:rsidRDefault="00795EDB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NVNA</w:t>
            </w:r>
          </w:p>
        </w:tc>
        <w:tc>
          <w:tcPr>
            <w:tcW w:w="3189" w:type="dxa"/>
          </w:tcPr>
          <w:p w14:paraId="2363AF76" w14:textId="0D6D9563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3233ADDA" w:rsidR="00DF1F94" w:rsidRPr="004936ED" w:rsidRDefault="00795EDB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Naval Communications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4936ED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4936ED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5F0EE30C" w:rsidR="007B4A96" w:rsidRPr="004936ED" w:rsidRDefault="00795EDB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 w:rsidRPr="004936ED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4936ED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4936ED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4936ED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5A507180" w:rsidR="00DF1F94" w:rsidRPr="004936ED" w:rsidRDefault="00795EDB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4936ED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4936ED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EBF1CF5" w14:textId="547F84FA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PhD degree in Electrical Engineering.</w:t>
            </w:r>
          </w:p>
          <w:p w14:paraId="3CD32A45" w14:textId="58B928A6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</w:tc>
      </w:tr>
      <w:tr w:rsidR="00DF1F94" w:rsidRPr="004936ED" w14:paraId="71A77D57" w14:textId="77777777" w:rsidTr="00795EDB">
        <w:trPr>
          <w:trHeight w:val="737"/>
        </w:trPr>
        <w:tc>
          <w:tcPr>
            <w:tcW w:w="1665" w:type="dxa"/>
            <w:vAlign w:val="center"/>
          </w:tcPr>
          <w:p w14:paraId="5EFD7D4F" w14:textId="40855621" w:rsidR="00DF1F94" w:rsidRPr="004936ED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667137E0" w:rsidR="00DF1F94" w:rsidRPr="004936ED" w:rsidRDefault="00795EDB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4936ED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4936ED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4936ED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936ED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4936ED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lang w:val="en-GB"/>
              </w:rPr>
              <w:t>MILOF</w:t>
            </w:r>
            <w:r w:rsidR="00F45516" w:rsidRPr="004936E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33F5BC44" w:rsidR="005E5F81" w:rsidRPr="004936ED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 w:rsidRPr="004936ED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57FEC153" w:rsidR="005E5F81" w:rsidRPr="004936ED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 w:rsidRPr="004936ED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093642E5" w:rsidR="005E5F81" w:rsidRPr="004936ED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 w:rsidRPr="004936ED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050"/>
      </w:tblGrid>
      <w:tr w:rsidR="00DF1F94" w:rsidRPr="004936ED" w14:paraId="3CDC9E7E" w14:textId="77777777" w:rsidTr="004936ED">
        <w:trPr>
          <w:trHeight w:val="1508"/>
        </w:trPr>
        <w:tc>
          <w:tcPr>
            <w:tcW w:w="5670" w:type="dxa"/>
          </w:tcPr>
          <w:p w14:paraId="46069981" w14:textId="04E4DA94" w:rsidR="00DF1F94" w:rsidRPr="004936ED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63BC0A2" w14:textId="6050C38A" w:rsidR="00DF1F94" w:rsidRPr="004936ED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14:paraId="3D59C75E" w14:textId="4B5EEEDF" w:rsidR="00DF1F94" w:rsidRPr="004936ED" w:rsidRDefault="00795EDB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Elements of real, complex and vector calculus, electromagnetics and wave physics, and basic circuit theory.</w:t>
            </w:r>
          </w:p>
        </w:tc>
        <w:tc>
          <w:tcPr>
            <w:tcW w:w="4050" w:type="dxa"/>
            <w:shd w:val="clear" w:color="auto" w:fill="000066"/>
            <w:vAlign w:val="center"/>
          </w:tcPr>
          <w:p w14:paraId="384223B0" w14:textId="77777777" w:rsidR="00DF1F94" w:rsidRPr="004936ED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7F248A5D" w14:textId="77777777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color w:val="FFFFFF"/>
                <w:sz w:val="20"/>
                <w:lang w:val="en-GB"/>
              </w:rPr>
              <w:t>Technical specifications of relevant naval communications.</w:t>
            </w:r>
          </w:p>
          <w:p w14:paraId="265F9B7C" w14:textId="06468242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color w:val="FFFFFF"/>
                <w:sz w:val="20"/>
                <w:lang w:val="en-GB"/>
              </w:rPr>
              <w:t>Effective exploitation of the relevant naval communications with due consideration of safety measures.</w:t>
            </w:r>
          </w:p>
        </w:tc>
      </w:tr>
    </w:tbl>
    <w:p w14:paraId="76B91552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4936ED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4936ED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 w:rsidRPr="004936ED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58C698CF" w14:textId="7ED291A2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Perform review of the characteristics and possibilities of the naval communications (spectral concepts and techniques, analog</w:t>
            </w:r>
            <w:r w:rsidR="004936ED" w:rsidRPr="004936ED">
              <w:rPr>
                <w:rFonts w:ascii="Arial" w:hAnsi="Arial" w:cs="Arial"/>
                <w:sz w:val="20"/>
                <w:lang w:val="en-GB"/>
              </w:rPr>
              <w:t>ue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and digital modulation, basic propagation mechanisms and characteristics, antennas and wireless links, satellite links, GMDSS).</w:t>
            </w:r>
          </w:p>
          <w:p w14:paraId="163B231B" w14:textId="76A97375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Formulate basics of naval communications management in the sustainment realm of operations.</w:t>
            </w:r>
          </w:p>
        </w:tc>
      </w:tr>
      <w:tr w:rsidR="00DF1F94" w:rsidRPr="004936ED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3A933DBD" w14:textId="77777777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Organize a frequency plan taking into consideration the skills and restrictions of naval training and appropriate propagation techniques for each use case.</w:t>
            </w:r>
          </w:p>
          <w:p w14:paraId="6A13B599" w14:textId="03CE9FF6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Deal with terrestrial and satellite communication systems and the associated multiple access techniques to the satellite resource; GMDSS systems.</w:t>
            </w:r>
          </w:p>
        </w:tc>
      </w:tr>
      <w:tr w:rsidR="00DF1F94" w:rsidRPr="004936ED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4936ED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 w:rsidRPr="004936ED"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4A3E0572" w14:textId="77777777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 xml:space="preserve">Make accountable tactical decisions by developing and adapting the naval force communications plan, managing onboard communications autonomously across different warfare/situational scenarios and ensuring continuity of communications and adherence to prescribed safety measures and procedures (incl. GMDSS where applicable). </w:t>
            </w:r>
          </w:p>
          <w:p w14:paraId="55EC9644" w14:textId="56850964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Assume responsibility for comms governance by documenting key planning/operational settings and escalating degradations, interference, or suspected misuse/cyber compromise through the chain of command.</w:t>
            </w:r>
          </w:p>
        </w:tc>
      </w:tr>
    </w:tbl>
    <w:p w14:paraId="6BDA92E1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4936ED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Pr="004936ED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lang w:val="en-GB"/>
              </w:rPr>
              <w:br w:type="page"/>
            </w:r>
            <w:r w:rsidRPr="004936ED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6E52D18" w14:textId="77777777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Observation: the theoretical part will be uploaded as study resources for students on e-platform, as well as simulation programs in GNU Octave.</w:t>
            </w:r>
          </w:p>
          <w:p w14:paraId="00FFEBA2" w14:textId="77777777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Tests: the assessment strategy is based on pre-post assessment method and a personal interview in laboratory premises.</w:t>
            </w:r>
          </w:p>
          <w:p w14:paraId="454B81CC" w14:textId="23EDD4FB" w:rsidR="00DF2906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Evaluation: the observation and the practical exercises in the lab result in the overall grading of the module. Qualified individual feedback will be provided to participants.</w:t>
            </w:r>
          </w:p>
        </w:tc>
      </w:tr>
    </w:tbl>
    <w:p w14:paraId="036DE93E" w14:textId="77777777" w:rsidR="004936ED" w:rsidRPr="004936ED" w:rsidRDefault="004936ED">
      <w:pPr>
        <w:spacing w:line="240" w:lineRule="auto"/>
        <w:jc w:val="left"/>
        <w:rPr>
          <w:rFonts w:ascii="Arial" w:hAnsi="Arial" w:cs="Arial"/>
          <w:sz w:val="16"/>
          <w:lang w:val="en-GB"/>
        </w:rPr>
      </w:pPr>
      <w:r w:rsidRPr="004936ED">
        <w:rPr>
          <w:rFonts w:ascii="Arial" w:hAnsi="Arial" w:cs="Arial"/>
          <w:sz w:val="16"/>
          <w:lang w:val="en-GB"/>
        </w:rPr>
        <w:lastRenderedPageBreak/>
        <w:br w:type="page"/>
      </w:r>
    </w:p>
    <w:p w14:paraId="67135239" w14:textId="77777777" w:rsidR="004936ED" w:rsidRPr="004936ED" w:rsidRDefault="004936ED" w:rsidP="004936E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1418"/>
        <w:gridCol w:w="6034"/>
      </w:tblGrid>
      <w:tr w:rsidR="004327F2" w:rsidRPr="004936ED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4936ED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Module</w:t>
            </w:r>
            <w:r w:rsidR="00DF1F94" w:rsidRPr="004936ED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 w:rsidRPr="004936ED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4936ED" w14:paraId="4EBA1FB9" w14:textId="77777777" w:rsidTr="004936ED">
        <w:trPr>
          <w:trHeight w:val="504"/>
        </w:trPr>
        <w:tc>
          <w:tcPr>
            <w:tcW w:w="2268" w:type="dxa"/>
            <w:shd w:val="clear" w:color="auto" w:fill="F2F2F2"/>
            <w:vAlign w:val="center"/>
          </w:tcPr>
          <w:p w14:paraId="772051B7" w14:textId="77777777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936ED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F52C00" w14:textId="166699A0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proofErr w:type="spellEnd"/>
            <w:r w:rsidRPr="004936ED">
              <w:rPr>
                <w:rFonts w:ascii="Arial" w:hAnsi="Arial" w:cs="Arial"/>
                <w:b/>
                <w:sz w:val="18"/>
                <w:lang w:val="en-GB"/>
              </w:rPr>
              <w:t>-mended WH</w:t>
            </w:r>
          </w:p>
          <w:p w14:paraId="4A085765" w14:textId="51B873FD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4936ED">
              <w:rPr>
                <w:rFonts w:ascii="Arial" w:hAnsi="Arial" w:cs="Arial"/>
                <w:bCs/>
                <w:sz w:val="12"/>
                <w:szCs w:val="14"/>
                <w:lang w:val="en-GB"/>
              </w:rPr>
              <w:t>for the residential phase</w:t>
            </w:r>
          </w:p>
        </w:tc>
        <w:tc>
          <w:tcPr>
            <w:tcW w:w="6034" w:type="dxa"/>
            <w:shd w:val="clear" w:color="auto" w:fill="F2F2F2"/>
            <w:vAlign w:val="center"/>
          </w:tcPr>
          <w:p w14:paraId="3D0D9FD9" w14:textId="77777777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936ED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795EDB" w:rsidRPr="004936ED" w14:paraId="24ECA5AC" w14:textId="77777777" w:rsidTr="004936ED">
        <w:trPr>
          <w:trHeight w:val="618"/>
        </w:trPr>
        <w:tc>
          <w:tcPr>
            <w:tcW w:w="2268" w:type="dxa"/>
            <w:vAlign w:val="center"/>
          </w:tcPr>
          <w:p w14:paraId="555FD885" w14:textId="434B113C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Spectral analysis and discretization of signals</w:t>
            </w:r>
          </w:p>
        </w:tc>
        <w:tc>
          <w:tcPr>
            <w:tcW w:w="1418" w:type="dxa"/>
            <w:vAlign w:val="center"/>
          </w:tcPr>
          <w:p w14:paraId="590237C3" w14:textId="3730638C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034" w:type="dxa"/>
            <w:vAlign w:val="center"/>
          </w:tcPr>
          <w:p w14:paraId="47712CB9" w14:textId="0399460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Fourier transform and related techniques (convolution, FFT). Application to LTI systems.</w:t>
            </w:r>
          </w:p>
          <w:p w14:paraId="5BCD8A19" w14:textId="775B45FF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A/D conversion – sampling and quantization; The sampling theorem.</w:t>
            </w:r>
          </w:p>
          <w:p w14:paraId="49002087" w14:textId="2A719E68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Frequency bands and spectrum allocation; Classification of emissions.</w:t>
            </w:r>
          </w:p>
        </w:tc>
      </w:tr>
      <w:tr w:rsidR="00795EDB" w:rsidRPr="004936ED" w14:paraId="4BDA6B38" w14:textId="77777777" w:rsidTr="004936ED">
        <w:trPr>
          <w:trHeight w:val="618"/>
        </w:trPr>
        <w:tc>
          <w:tcPr>
            <w:tcW w:w="2268" w:type="dxa"/>
            <w:vAlign w:val="center"/>
          </w:tcPr>
          <w:p w14:paraId="259C8E07" w14:textId="4F9E8850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Fundamentals of analog</w:t>
            </w:r>
            <w:r w:rsidR="004936ED">
              <w:rPr>
                <w:rFonts w:ascii="Arial" w:hAnsi="Arial" w:cs="Arial"/>
                <w:color w:val="000000"/>
                <w:sz w:val="18"/>
                <w:lang w:val="en-GB"/>
              </w:rPr>
              <w:t>ue</w:t>
            </w: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and digital transmission</w:t>
            </w:r>
          </w:p>
        </w:tc>
        <w:tc>
          <w:tcPr>
            <w:tcW w:w="1418" w:type="dxa"/>
            <w:vAlign w:val="center"/>
          </w:tcPr>
          <w:p w14:paraId="02017485" w14:textId="40CD4AFF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6034" w:type="dxa"/>
            <w:vAlign w:val="center"/>
          </w:tcPr>
          <w:p w14:paraId="30A3DBB2" w14:textId="23A15344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AM modulation (DSB, DSBSC, SSB).</w:t>
            </w:r>
          </w:p>
          <w:p w14:paraId="19301AC0" w14:textId="2A99B270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Frequency (up-/down)</w:t>
            </w:r>
            <w:r w:rsidR="004936ED" w:rsidRPr="004936ED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4936ED">
              <w:rPr>
                <w:rFonts w:ascii="Arial" w:hAnsi="Arial" w:cs="Arial"/>
                <w:sz w:val="18"/>
                <w:lang w:val="en-GB"/>
              </w:rPr>
              <w:t>conversion and the superheterodyne principle.</w:t>
            </w:r>
          </w:p>
          <w:p w14:paraId="657EFE7B" w14:textId="5EBF753C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FM modulation; FM spectrum and the Carson rule.</w:t>
            </w:r>
          </w:p>
          <w:p w14:paraId="53F5A081" w14:textId="720173E8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Digital networks; Protocol hierarches.</w:t>
            </w:r>
          </w:p>
          <w:p w14:paraId="111B5D51" w14:textId="655F2E07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Baseband signa</w:t>
            </w:r>
            <w:r w:rsidR="004936ED">
              <w:rPr>
                <w:rFonts w:ascii="Arial" w:hAnsi="Arial" w:cs="Arial"/>
                <w:sz w:val="18"/>
                <w:lang w:val="en-GB"/>
              </w:rPr>
              <w:t>l</w:t>
            </w:r>
            <w:r w:rsidRPr="004936ED">
              <w:rPr>
                <w:rFonts w:ascii="Arial" w:hAnsi="Arial" w:cs="Arial"/>
                <w:sz w:val="18"/>
                <w:lang w:val="en-GB"/>
              </w:rPr>
              <w:t>ling and line coding.</w:t>
            </w:r>
          </w:p>
          <w:p w14:paraId="7E10214C" w14:textId="6898965D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Basic digital modulation schemes (ASK, FSK, BPSK, QPSK, QAM).</w:t>
            </w:r>
          </w:p>
        </w:tc>
      </w:tr>
      <w:tr w:rsidR="00795EDB" w:rsidRPr="004936ED" w14:paraId="243F3F2D" w14:textId="77777777" w:rsidTr="004936ED">
        <w:trPr>
          <w:trHeight w:val="1172"/>
        </w:trPr>
        <w:tc>
          <w:tcPr>
            <w:tcW w:w="2268" w:type="dxa"/>
            <w:vAlign w:val="center"/>
          </w:tcPr>
          <w:p w14:paraId="15500F66" w14:textId="0367DACE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Electromagnetic waves and propagation</w:t>
            </w:r>
          </w:p>
        </w:tc>
        <w:tc>
          <w:tcPr>
            <w:tcW w:w="1418" w:type="dxa"/>
            <w:vAlign w:val="center"/>
          </w:tcPr>
          <w:p w14:paraId="3B6B7D8B" w14:textId="1EC2F0FB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034" w:type="dxa"/>
            <w:vAlign w:val="center"/>
          </w:tcPr>
          <w:p w14:paraId="29A58003" w14:textId="20404B44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Maxwell equations in differential and time-harmonic form.</w:t>
            </w:r>
          </w:p>
          <w:p w14:paraId="4D2CBCE5" w14:textId="5D9433F6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Fundamentals of planar electromagnetic waves: field calculation, phase velocity and intrinsic impedance; Polarization; Spherical waves.</w:t>
            </w:r>
          </w:p>
          <w:p w14:paraId="3A6DE036" w14:textId="4A80F01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Power flux: The Poynting vector.</w:t>
            </w:r>
          </w:p>
        </w:tc>
      </w:tr>
      <w:tr w:rsidR="00795EDB" w:rsidRPr="004936ED" w14:paraId="7CDA8539" w14:textId="77777777" w:rsidTr="004936ED">
        <w:trPr>
          <w:trHeight w:val="619"/>
        </w:trPr>
        <w:tc>
          <w:tcPr>
            <w:tcW w:w="2268" w:type="dxa"/>
            <w:vAlign w:val="center"/>
          </w:tcPr>
          <w:p w14:paraId="296766BC" w14:textId="5EA935A1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Antenna radiation</w:t>
            </w:r>
          </w:p>
        </w:tc>
        <w:tc>
          <w:tcPr>
            <w:tcW w:w="1418" w:type="dxa"/>
            <w:vAlign w:val="center"/>
          </w:tcPr>
          <w:p w14:paraId="7EDCF569" w14:textId="37A38694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034" w:type="dxa"/>
            <w:vAlign w:val="center"/>
          </w:tcPr>
          <w:p w14:paraId="48EA3C84" w14:textId="523C911D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Far-field and near-field region; Radiated power.</w:t>
            </w:r>
          </w:p>
          <w:p w14:paraId="5D206B05" w14:textId="566A9756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Radiation intensity – Radiation Pattern; Directivity and Gain.</w:t>
            </w:r>
          </w:p>
          <w:p w14:paraId="3FB67B34" w14:textId="298B0C7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Antenna input impedance – Equivalent circuit for transmission.</w:t>
            </w:r>
          </w:p>
          <w:p w14:paraId="419E9C2F" w14:textId="3F2EC84D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Application to dipoles: Current distribution, Radiation pattern, Directivity, Input impedance.</w:t>
            </w:r>
          </w:p>
        </w:tc>
      </w:tr>
      <w:tr w:rsidR="00795EDB" w:rsidRPr="004936ED" w14:paraId="4773D0B7" w14:textId="77777777" w:rsidTr="004936ED">
        <w:trPr>
          <w:trHeight w:val="624"/>
        </w:trPr>
        <w:tc>
          <w:tcPr>
            <w:tcW w:w="2268" w:type="dxa"/>
            <w:vAlign w:val="center"/>
          </w:tcPr>
          <w:p w14:paraId="6635C6DA" w14:textId="34451AD3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Wireless links</w:t>
            </w:r>
          </w:p>
        </w:tc>
        <w:tc>
          <w:tcPr>
            <w:tcW w:w="1418" w:type="dxa"/>
            <w:vAlign w:val="center"/>
          </w:tcPr>
          <w:p w14:paraId="381A8FCF" w14:textId="176EBADA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034" w:type="dxa"/>
            <w:vAlign w:val="center"/>
          </w:tcPr>
          <w:p w14:paraId="0BD0DF07" w14:textId="1C2A8253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Reciprocity theorem for antennas; Equivalent circuit for reception – Self impedance.</w:t>
            </w:r>
          </w:p>
          <w:p w14:paraId="6708D453" w14:textId="77777777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Antenna effective aperture and relation to directivity</w:t>
            </w:r>
          </w:p>
          <w:p w14:paraId="58C66A9D" w14:textId="3CC63D4D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Friis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 transmission equation and radar range equation.</w:t>
            </w:r>
          </w:p>
          <w:p w14:paraId="53DC59F4" w14:textId="31105106" w:rsidR="00795EDB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Link budget</w:t>
            </w:r>
            <w:r w:rsidR="00795EDB" w:rsidRPr="004936ED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2A0944" w:rsidRPr="004936ED" w14:paraId="709CAA5B" w14:textId="77777777" w:rsidTr="004936ED">
        <w:trPr>
          <w:trHeight w:val="618"/>
        </w:trPr>
        <w:tc>
          <w:tcPr>
            <w:tcW w:w="2268" w:type="dxa"/>
            <w:vMerge w:val="restart"/>
            <w:vAlign w:val="center"/>
          </w:tcPr>
          <w:p w14:paraId="411AC59C" w14:textId="14D40FFD" w:rsidR="002A0944" w:rsidRPr="004936ED" w:rsidRDefault="002A0944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Tutorials – laboratory exercise</w:t>
            </w:r>
          </w:p>
        </w:tc>
        <w:tc>
          <w:tcPr>
            <w:tcW w:w="1418" w:type="dxa"/>
            <w:vAlign w:val="center"/>
          </w:tcPr>
          <w:p w14:paraId="3B1BD64D" w14:textId="0E0303EE" w:rsidR="002A0944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034" w:type="dxa"/>
            <w:vAlign w:val="center"/>
          </w:tcPr>
          <w:p w14:paraId="6C641B27" w14:textId="32EDF45F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Spectrum analy</w:t>
            </w:r>
            <w:r w:rsidR="004936ED">
              <w:rPr>
                <w:rFonts w:ascii="Arial" w:hAnsi="Arial" w:cs="Arial"/>
                <w:sz w:val="18"/>
                <w:lang w:val="en-GB"/>
              </w:rPr>
              <w:t>s</w:t>
            </w:r>
            <w:r w:rsidRPr="004936ED">
              <w:rPr>
                <w:rFonts w:ascii="Arial" w:hAnsi="Arial" w:cs="Arial"/>
                <w:sz w:val="18"/>
                <w:lang w:val="en-GB"/>
              </w:rPr>
              <w:t>er: principle of operation and use.</w:t>
            </w:r>
          </w:p>
          <w:p w14:paraId="313F9DFC" w14:textId="4C9460D0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Spectral analysis of RF signals and characterization of frequency generators.</w:t>
            </w:r>
          </w:p>
        </w:tc>
      </w:tr>
      <w:tr w:rsidR="002A0944" w:rsidRPr="004936ED" w14:paraId="6354DCE6" w14:textId="77777777" w:rsidTr="004936ED">
        <w:trPr>
          <w:trHeight w:val="477"/>
        </w:trPr>
        <w:tc>
          <w:tcPr>
            <w:tcW w:w="2268" w:type="dxa"/>
            <w:vMerge/>
            <w:vAlign w:val="center"/>
          </w:tcPr>
          <w:p w14:paraId="45404EC8" w14:textId="29195370" w:rsidR="002A0944" w:rsidRPr="004936ED" w:rsidRDefault="002A0944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B33E2" w14:textId="26760EE4" w:rsidR="002A0944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034" w:type="dxa"/>
            <w:vAlign w:val="center"/>
          </w:tcPr>
          <w:p w14:paraId="2A9CFAF9" w14:textId="2D95B2BC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Computer simulations of analog</w:t>
            </w:r>
            <w:r w:rsidR="004936ED">
              <w:rPr>
                <w:rFonts w:ascii="Arial" w:hAnsi="Arial" w:cs="Arial"/>
                <w:sz w:val="18"/>
                <w:lang w:val="en-GB"/>
              </w:rPr>
              <w:t>ue</w:t>
            </w:r>
            <w:r w:rsidRPr="004936ED">
              <w:rPr>
                <w:rFonts w:ascii="Arial" w:hAnsi="Arial" w:cs="Arial"/>
                <w:sz w:val="18"/>
                <w:lang w:val="en-GB"/>
              </w:rPr>
              <w:t xml:space="preserve"> signals and modulators / demodulators by use of FFT and other programming blocks.</w:t>
            </w:r>
          </w:p>
        </w:tc>
      </w:tr>
      <w:tr w:rsidR="002A0944" w:rsidRPr="004936ED" w14:paraId="7B097A9F" w14:textId="77777777" w:rsidTr="004936ED">
        <w:trPr>
          <w:trHeight w:val="34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AB397E" w14:textId="77777777" w:rsidR="002A0944" w:rsidRPr="004936ED" w:rsidRDefault="002A0944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9430F" w14:textId="1A25FA3A" w:rsidR="002A0944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034" w:type="dxa"/>
            <w:vAlign w:val="center"/>
          </w:tcPr>
          <w:p w14:paraId="641E5756" w14:textId="5DCAB5D3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Antenna pattern and gain measurements.</w:t>
            </w:r>
          </w:p>
        </w:tc>
      </w:tr>
      <w:tr w:rsidR="00795EDB" w:rsidRPr="004936ED" w14:paraId="60785D22" w14:textId="77777777" w:rsidTr="004936ED">
        <w:trPr>
          <w:trHeight w:val="420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</w:t>
            </w:r>
            <w:proofErr w:type="gramStart"/>
            <w:r w:rsidRPr="004936ED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contact</w:t>
            </w:r>
            <w:proofErr w:type="gramEnd"/>
            <w:r w:rsidRPr="004936ED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 xml:space="preserve"> hours)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247B0ED4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18+6</w:t>
            </w:r>
          </w:p>
        </w:tc>
        <w:tc>
          <w:tcPr>
            <w:tcW w:w="6034" w:type="dxa"/>
            <w:vAlign w:val="center"/>
          </w:tcPr>
          <w:p w14:paraId="48AE4420" w14:textId="77777777" w:rsidR="00795EDB" w:rsidRPr="004936ED" w:rsidRDefault="00795EDB" w:rsidP="00795EDB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95EDB" w:rsidRPr="004936ED" w14:paraId="1CA2EAF4" w14:textId="77777777" w:rsidTr="002A0944">
        <w:trPr>
          <w:trHeight w:val="269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95EDB" w:rsidRPr="004936ED" w:rsidRDefault="00795EDB" w:rsidP="00795ED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936ED">
              <w:rPr>
                <w:rFonts w:ascii="Arial" w:hAnsi="Arial" w:cs="Arial"/>
                <w:b/>
                <w:sz w:val="18"/>
                <w:lang w:val="en-GB"/>
              </w:rPr>
              <w:t>Additional hours (WH) to increase and assess the learning outcomes (during residential phase):</w:t>
            </w:r>
          </w:p>
        </w:tc>
      </w:tr>
      <w:tr w:rsidR="00795EDB" w:rsidRPr="004936ED" w14:paraId="3EFB7652" w14:textId="77777777" w:rsidTr="004936ED">
        <w:trPr>
          <w:trHeight w:val="624"/>
        </w:trPr>
        <w:tc>
          <w:tcPr>
            <w:tcW w:w="2268" w:type="dxa"/>
            <w:vAlign w:val="center"/>
          </w:tcPr>
          <w:p w14:paraId="2CF4AFA2" w14:textId="5425ED79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Self-studies</w:t>
            </w:r>
          </w:p>
        </w:tc>
        <w:tc>
          <w:tcPr>
            <w:tcW w:w="1418" w:type="dxa"/>
            <w:vAlign w:val="center"/>
          </w:tcPr>
          <w:p w14:paraId="42029D70" w14:textId="4BD42382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6034" w:type="dxa"/>
            <w:vAlign w:val="center"/>
          </w:tcPr>
          <w:p w14:paraId="30DFB933" w14:textId="476DE3D8" w:rsidR="002A0944" w:rsidRPr="004936ED" w:rsidRDefault="002A0944" w:rsidP="002A09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NATO rules and regulations for Naval Communication and Naval Sensors.</w:t>
            </w:r>
          </w:p>
          <w:p w14:paraId="795EA561" w14:textId="11D0B757" w:rsidR="00795EDB" w:rsidRPr="004936ED" w:rsidRDefault="002A0944" w:rsidP="002A09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Cristea O. (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coord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>.), Naval Communication, INS manual, 2025</w:t>
            </w:r>
            <w:r w:rsidR="00795EDB" w:rsidRPr="004936ED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795EDB" w:rsidRPr="004936ED" w14:paraId="45504D7F" w14:textId="77777777" w:rsidTr="004936ED">
        <w:trPr>
          <w:trHeight w:val="397"/>
        </w:trPr>
        <w:tc>
          <w:tcPr>
            <w:tcW w:w="2268" w:type="dxa"/>
            <w:vAlign w:val="center"/>
          </w:tcPr>
          <w:p w14:paraId="5699253D" w14:textId="1489C10F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418" w:type="dxa"/>
            <w:vAlign w:val="center"/>
          </w:tcPr>
          <w:p w14:paraId="4C366868" w14:textId="6E448163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034" w:type="dxa"/>
            <w:vAlign w:val="center"/>
          </w:tcPr>
          <w:p w14:paraId="5E50300D" w14:textId="0B4D1136" w:rsidR="00795EDB" w:rsidRPr="004936ED" w:rsidRDefault="002A0944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Pre-Post Assessment and Laboratory evaluation.</w:t>
            </w:r>
          </w:p>
        </w:tc>
      </w:tr>
      <w:tr w:rsidR="00795EDB" w:rsidRPr="004936ED" w14:paraId="62009B5A" w14:textId="77777777" w:rsidTr="004936ED">
        <w:trPr>
          <w:trHeight w:val="470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2AF271A0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034" w:type="dxa"/>
            <w:vAlign w:val="center"/>
          </w:tcPr>
          <w:p w14:paraId="67FCA2DB" w14:textId="77777777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home institution’s rules.</w:t>
            </w:r>
          </w:p>
        </w:tc>
      </w:tr>
    </w:tbl>
    <w:p w14:paraId="3FB84306" w14:textId="77777777" w:rsidR="004936ED" w:rsidRDefault="004936E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52760A88" w14:textId="77777777" w:rsidR="00D44A1A" w:rsidRPr="004936ED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</w:p>
    <w:p w14:paraId="29D15201" w14:textId="77777777" w:rsidR="00814095" w:rsidRPr="004936ED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4936ED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4936ED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GB" w:eastAsia="pl-PL"/>
              </w:rPr>
            </w:pPr>
            <w:r w:rsidRPr="004936ED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4936ED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4936ED">
              <w:rPr>
                <w:rFonts w:ascii="Arial" w:eastAsia="Times New Roman" w:hAnsi="Arial" w:cs="Arial"/>
                <w:b/>
                <w:color w:val="FFFFFF"/>
                <w:sz w:val="28"/>
                <w:lang w:val="en-GB" w:eastAsia="pl-PL"/>
              </w:rPr>
              <w:t>List of Abbreviations:</w:t>
            </w:r>
          </w:p>
        </w:tc>
      </w:tr>
    </w:tbl>
    <w:p w14:paraId="313418E5" w14:textId="77777777" w:rsidR="002A0944" w:rsidRPr="004936ED" w:rsidRDefault="002A0944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6ABD52B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B1, B2, C1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CEFR Levels</w:t>
      </w:r>
    </w:p>
    <w:p w14:paraId="791DB380" w14:textId="56E58905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BG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Bulgaria</w:t>
      </w:r>
    </w:p>
    <w:p w14:paraId="037C3063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4E58F53E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Common European Framework of Reference for Languages</w:t>
      </w:r>
    </w:p>
    <w:p w14:paraId="3AC0A9B8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European Credit Transfer and Accumulation System</w:t>
      </w:r>
    </w:p>
    <w:p w14:paraId="0C3BD775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European Security and Defence College</w:t>
      </w:r>
    </w:p>
    <w:p w14:paraId="6EC54E49" w14:textId="1334C65C" w:rsidR="002A0944" w:rsidRPr="004936ED" w:rsidRDefault="002A0944" w:rsidP="002A0944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GMDSS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Global Maritime Distress and Safety System</w:t>
      </w:r>
    </w:p>
    <w:p w14:paraId="22593BDC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45A2BC8" w14:textId="282CBBB6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IMO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International Maritime Organisation</w:t>
      </w:r>
    </w:p>
    <w:p w14:paraId="224E6EBA" w14:textId="7E5C9A6C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ITU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International Telecommunication Union</w:t>
      </w:r>
    </w:p>
    <w:p w14:paraId="35FA8B98" w14:textId="41E530C8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LTI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Linear Time Invariant</w:t>
      </w:r>
    </w:p>
    <w:p w14:paraId="67CA1EA2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North Atlantic Treaty Organization</w:t>
      </w:r>
    </w:p>
    <w:p w14:paraId="50061394" w14:textId="178764F0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NVNA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Nikola </w:t>
      </w: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Vaptsarov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Naval Academy</w:t>
      </w:r>
    </w:p>
    <w:p w14:paraId="1429EFBB" w14:textId="42D7C766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SOLAS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Safety of Life at Seas</w:t>
      </w:r>
    </w:p>
    <w:p w14:paraId="27DEA00B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Standardization Agreement</w:t>
      </w:r>
    </w:p>
    <w:p w14:paraId="22AE87EF" w14:textId="6439D6D1" w:rsidR="002A0944" w:rsidRPr="004936ED" w:rsidRDefault="002A0944" w:rsidP="002A0944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STCW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Standards of Training Certification and Watchkeeping</w:t>
      </w:r>
    </w:p>
    <w:p w14:paraId="1CA1AFAC" w14:textId="1B9960DB" w:rsidR="002A0944" w:rsidRPr="004936ED" w:rsidRDefault="002A0944" w:rsidP="002A0944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VSAT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Very Small Aperture Terminal</w:t>
      </w:r>
    </w:p>
    <w:p w14:paraId="01DD16C8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Working Hour (60 minutes)</w:t>
      </w:r>
    </w:p>
    <w:sectPr w:rsidR="002A0944" w:rsidRPr="004936ED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CB74" w14:textId="77777777" w:rsidR="0022414F" w:rsidRDefault="0022414F">
      <w:r>
        <w:separator/>
      </w:r>
    </w:p>
  </w:endnote>
  <w:endnote w:type="continuationSeparator" w:id="0">
    <w:p w14:paraId="78A37189" w14:textId="77777777" w:rsidR="0022414F" w:rsidRDefault="002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31AD9E0B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795EDB" w:rsidRPr="00795EDB">
      <w:rPr>
        <w:rFonts w:ascii="Arial" w:hAnsi="Arial" w:cs="Arial"/>
        <w:sz w:val="14"/>
        <w:szCs w:val="16"/>
        <w:lang w:val="en-GB"/>
      </w:rPr>
      <w:t xml:space="preserve">CAPT (N) </w:t>
    </w:r>
    <w:proofErr w:type="spellStart"/>
    <w:r w:rsidR="00795EDB" w:rsidRPr="00795EDB">
      <w:rPr>
        <w:rFonts w:ascii="Arial" w:hAnsi="Arial" w:cs="Arial"/>
        <w:sz w:val="14"/>
        <w:szCs w:val="16"/>
        <w:lang w:val="en-GB"/>
      </w:rPr>
      <w:t>Nedko</w:t>
    </w:r>
    <w:proofErr w:type="spellEnd"/>
    <w:r w:rsidR="00795EDB" w:rsidRPr="00795EDB">
      <w:rPr>
        <w:rFonts w:ascii="Arial" w:hAnsi="Arial" w:cs="Arial"/>
        <w:sz w:val="14"/>
        <w:szCs w:val="16"/>
        <w:lang w:val="en-GB"/>
      </w:rPr>
      <w:t xml:space="preserve"> Dimitrov / Chairman LoD</w:t>
    </w:r>
    <w:r w:rsidR="00795EDB">
      <w:rPr>
        <w:rFonts w:ascii="Arial" w:hAnsi="Arial" w:cs="Arial"/>
        <w:sz w:val="14"/>
        <w:szCs w:val="16"/>
        <w:lang w:val="en-GB"/>
      </w:rPr>
      <w:t>-0</w:t>
    </w:r>
    <w:r w:rsidR="00795EDB" w:rsidRPr="00795EDB">
      <w:rPr>
        <w:rFonts w:ascii="Arial" w:hAnsi="Arial" w:cs="Arial"/>
        <w:sz w:val="14"/>
        <w:szCs w:val="16"/>
        <w:lang w:val="en-GB"/>
      </w:rPr>
      <w:t>2</w:t>
    </w:r>
    <w:r w:rsidR="00795EDB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01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09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2025</w:t>
    </w:r>
  </w:p>
  <w:p w14:paraId="170F9719" w14:textId="3FFBA0AA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795EDB" w:rsidRPr="00795EDB">
      <w:rPr>
        <w:rFonts w:ascii="Arial" w:hAnsi="Arial" w:cs="Arial"/>
        <w:sz w:val="14"/>
        <w:szCs w:val="16"/>
        <w:lang w:val="en-GB"/>
      </w:rPr>
      <w:t>Col. Catalin Popa / Chairman LoD</w:t>
    </w:r>
    <w:r w:rsidR="00795EDB">
      <w:rPr>
        <w:rFonts w:ascii="Arial" w:hAnsi="Arial" w:cs="Arial"/>
        <w:sz w:val="14"/>
        <w:szCs w:val="16"/>
        <w:lang w:val="en-GB"/>
      </w:rPr>
      <w:t>-</w:t>
    </w:r>
    <w:r w:rsidR="00795EDB" w:rsidRPr="00795EDB">
      <w:rPr>
        <w:rFonts w:ascii="Arial" w:hAnsi="Arial" w:cs="Arial"/>
        <w:sz w:val="14"/>
        <w:szCs w:val="16"/>
        <w:lang w:val="en-GB"/>
      </w:rPr>
      <w:t>11</w:t>
    </w:r>
    <w:r w:rsidR="00795EDB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02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2026</w:t>
    </w:r>
  </w:p>
  <w:p w14:paraId="34B0E9C7" w14:textId="4BCC1CBF" w:rsidR="00795EDB" w:rsidRDefault="00795EDB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4ED3" w14:textId="77777777" w:rsidR="0022414F" w:rsidRDefault="0022414F">
      <w:r>
        <w:separator/>
      </w:r>
    </w:p>
  </w:footnote>
  <w:footnote w:type="continuationSeparator" w:id="0">
    <w:p w14:paraId="1DE661F7" w14:textId="77777777" w:rsidR="0022414F" w:rsidRDefault="0022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proofErr w:type="gramStart"/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proofErr w:type="gramEnd"/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234381CB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795EDB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BG / NVNA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proofErr w:type="gramStart"/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proofErr w:type="gramEnd"/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234381CB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795EDB">
                      <w:rPr>
                        <w:rFonts w:ascii="Arial" w:hAnsi="Arial" w:cs="Arial"/>
                        <w:sz w:val="14"/>
                        <w:lang w:val="en-GB"/>
                      </w:rPr>
                      <w:t>BG / NVNA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5E18C2F1" w:rsidR="002334DB" w:rsidRPr="007B4A96" w:rsidRDefault="00795E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Commuications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33"/>
  </w:num>
  <w:num w:numId="5">
    <w:abstractNumId w:val="16"/>
  </w:num>
  <w:num w:numId="6">
    <w:abstractNumId w:val="12"/>
  </w:num>
  <w:num w:numId="7">
    <w:abstractNumId w:val="2"/>
  </w:num>
  <w:num w:numId="8">
    <w:abstractNumId w:val="29"/>
  </w:num>
  <w:num w:numId="9">
    <w:abstractNumId w:val="13"/>
  </w:num>
  <w:num w:numId="10">
    <w:abstractNumId w:val="21"/>
  </w:num>
  <w:num w:numId="11">
    <w:abstractNumId w:val="30"/>
  </w:num>
  <w:num w:numId="12">
    <w:abstractNumId w:val="7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9"/>
  </w:num>
  <w:num w:numId="18">
    <w:abstractNumId w:val="27"/>
  </w:num>
  <w:num w:numId="19">
    <w:abstractNumId w:val="19"/>
  </w:num>
  <w:num w:numId="20">
    <w:abstractNumId w:val="23"/>
  </w:num>
  <w:num w:numId="21">
    <w:abstractNumId w:val="31"/>
  </w:num>
  <w:num w:numId="22">
    <w:abstractNumId w:val="0"/>
  </w:num>
  <w:num w:numId="23">
    <w:abstractNumId w:val="1"/>
  </w:num>
  <w:num w:numId="24">
    <w:abstractNumId w:val="10"/>
  </w:num>
  <w:num w:numId="25">
    <w:abstractNumId w:val="28"/>
  </w:num>
  <w:num w:numId="26">
    <w:abstractNumId w:val="14"/>
  </w:num>
  <w:num w:numId="27">
    <w:abstractNumId w:val="5"/>
  </w:num>
  <w:num w:numId="28">
    <w:abstractNumId w:val="26"/>
  </w:num>
  <w:num w:numId="29">
    <w:abstractNumId w:val="25"/>
  </w:num>
  <w:num w:numId="30">
    <w:abstractNumId w:val="17"/>
  </w:num>
  <w:num w:numId="31">
    <w:abstractNumId w:val="32"/>
  </w:num>
  <w:num w:numId="32">
    <w:abstractNumId w:val="20"/>
  </w:num>
  <w:num w:numId="33">
    <w:abstractNumId w:val="6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0944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36ED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5EDB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  <w:style w:type="paragraph" w:customStyle="1" w:styleId="Default">
    <w:name w:val="Default"/>
    <w:rsid w:val="002A09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4915</Characters>
  <Application>Microsoft Office Word</Application>
  <DocSecurity>0</DocSecurity>
  <Lines>40</Lines>
  <Paragraphs>11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3</cp:revision>
  <cp:lastPrinted>2025-12-23T19:19:00Z</cp:lastPrinted>
  <dcterms:created xsi:type="dcterms:W3CDTF">2026-02-04T13:42:00Z</dcterms:created>
  <dcterms:modified xsi:type="dcterms:W3CDTF">2026-02-05T13:06:00Z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